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53" w:rsidRDefault="00935753">
      <w:pPr>
        <w:pStyle w:val="Header"/>
        <w:pBdr>
          <w:bottom w:val="single" w:sz="6" w:space="1" w:color="auto"/>
        </w:pBdr>
        <w:tabs>
          <w:tab w:val="clear" w:pos="4320"/>
          <w:tab w:val="clear" w:pos="8640"/>
        </w:tabs>
        <w:rPr>
          <w:rFonts w:ascii="Arial" w:hAnsi="Arial" w:cs="Arial"/>
        </w:rPr>
      </w:pPr>
      <w:bookmarkStart w:id="0" w:name="_GoBack"/>
      <w:bookmarkEnd w:id="0"/>
    </w:p>
    <w:p w:rsidR="00935753" w:rsidRDefault="00935753">
      <w:pPr>
        <w:rPr>
          <w:rFonts w:ascii="Arial" w:hAnsi="Arial"/>
          <w:b/>
        </w:rPr>
      </w:pPr>
    </w:p>
    <w:p w:rsidR="00935753" w:rsidRDefault="00E96AD0" w:rsidP="00935753">
      <w:pPr>
        <w:jc w:val="center"/>
        <w:rPr>
          <w:rFonts w:ascii="Arial" w:hAnsi="Arial"/>
          <w:b/>
        </w:rPr>
      </w:pPr>
      <w:r w:rsidRPr="000E2EDF">
        <w:rPr>
          <w:b/>
          <w:sz w:val="28"/>
        </w:rPr>
        <w:t>Section I</w:t>
      </w:r>
      <w:r w:rsidR="00935753">
        <w:rPr>
          <w:rFonts w:ascii="Arial" w:hAnsi="Arial"/>
          <w:b/>
        </w:rPr>
        <w:t xml:space="preserve">: </w:t>
      </w:r>
      <w:r w:rsidR="00B95A7E" w:rsidRPr="000E2EDF">
        <w:rPr>
          <w:b/>
        </w:rPr>
        <w:t>IDENTIFICATION</w:t>
      </w:r>
    </w:p>
    <w:p w:rsidR="00CD1EAC" w:rsidRDefault="00CD1EAC" w:rsidP="00CD1EAC">
      <w:pPr>
        <w:pBdr>
          <w:bottom w:val="single" w:sz="6" w:space="1" w:color="auto"/>
        </w:pBdr>
        <w:rPr>
          <w:rFonts w:ascii="Arial" w:hAnsi="Arial"/>
        </w:rPr>
      </w:pPr>
    </w:p>
    <w:p w:rsidR="00935753" w:rsidRDefault="00935753">
      <w:pPr>
        <w:rPr>
          <w:rFonts w:ascii="Arial" w:hAnsi="Arial"/>
          <w:b/>
        </w:rPr>
      </w:pPr>
    </w:p>
    <w:p w:rsidR="00935753" w:rsidRDefault="00935753">
      <w:pPr>
        <w:rPr>
          <w:rFonts w:ascii="Arial" w:hAnsi="Arial"/>
        </w:rPr>
      </w:pPr>
      <w:r w:rsidRPr="00E96AD0">
        <w:rPr>
          <w:rFonts w:ascii="Arial" w:hAnsi="Arial"/>
          <w:b/>
        </w:rPr>
        <w:t>Product Identifie</w:t>
      </w:r>
      <w:r w:rsidR="00F46389">
        <w:rPr>
          <w:rFonts w:ascii="Arial" w:hAnsi="Arial"/>
          <w:b/>
        </w:rPr>
        <w:t>r:</w:t>
      </w:r>
      <w:r>
        <w:rPr>
          <w:rFonts w:ascii="Arial" w:hAnsi="Arial"/>
        </w:rPr>
        <w:t xml:space="preserve"> </w:t>
      </w:r>
      <w:r w:rsidRPr="00E96AD0">
        <w:rPr>
          <w:b/>
          <w:sz w:val="36"/>
        </w:rPr>
        <w:t>NYCOA</w:t>
      </w:r>
      <w:r w:rsidR="00D21BF4">
        <w:rPr>
          <w:b/>
          <w:sz w:val="36"/>
        </w:rPr>
        <w:t xml:space="preserve"> 204</w:t>
      </w:r>
      <w:r w:rsidR="000A4A48">
        <w:rPr>
          <w:b/>
          <w:sz w:val="36"/>
        </w:rPr>
        <w:t>7</w:t>
      </w:r>
    </w:p>
    <w:p w:rsidR="00935753" w:rsidRDefault="00935753">
      <w:pPr>
        <w:rPr>
          <w:rFonts w:ascii="Arial" w:hAnsi="Arial"/>
        </w:rPr>
      </w:pPr>
    </w:p>
    <w:p w:rsidR="00F46389" w:rsidRPr="00F46389" w:rsidRDefault="00F46389">
      <w:pPr>
        <w:rPr>
          <w:rFonts w:ascii="Arial" w:hAnsi="Arial"/>
          <w:b/>
        </w:rPr>
      </w:pPr>
      <w:r w:rsidRPr="00F46389">
        <w:rPr>
          <w:rFonts w:ascii="Arial" w:hAnsi="Arial"/>
          <w:b/>
        </w:rPr>
        <w:t>Chemical Family:  Polyamide Resin</w:t>
      </w:r>
    </w:p>
    <w:p w:rsidR="00F46389" w:rsidRDefault="00F46389">
      <w:pPr>
        <w:rPr>
          <w:rFonts w:ascii="Arial" w:hAnsi="Arial"/>
        </w:rPr>
      </w:pPr>
    </w:p>
    <w:p w:rsidR="00E96AD0" w:rsidRDefault="00E96AD0">
      <w:pPr>
        <w:rPr>
          <w:rFonts w:ascii="Arial" w:hAnsi="Arial"/>
        </w:rPr>
      </w:pPr>
      <w:r w:rsidRPr="00E96AD0">
        <w:rPr>
          <w:rFonts w:ascii="Arial" w:hAnsi="Arial"/>
          <w:b/>
        </w:rPr>
        <w:t>Recommended use of the chemical and restriction on use</w:t>
      </w:r>
      <w:r>
        <w:rPr>
          <w:rFonts w:ascii="Arial" w:hAnsi="Arial"/>
        </w:rPr>
        <w:t>:</w:t>
      </w:r>
    </w:p>
    <w:p w:rsidR="00E96AD0" w:rsidRDefault="00E96AD0">
      <w:pPr>
        <w:rPr>
          <w:rFonts w:ascii="Arial" w:hAnsi="Arial"/>
        </w:rPr>
      </w:pPr>
      <w:r>
        <w:rPr>
          <w:rFonts w:ascii="Arial" w:hAnsi="Arial"/>
        </w:rPr>
        <w:t>Recommended use: Polymer for industrial processing only</w:t>
      </w:r>
    </w:p>
    <w:p w:rsidR="00E96AD0" w:rsidRDefault="00E96AD0">
      <w:pPr>
        <w:rPr>
          <w:rFonts w:ascii="Arial" w:hAnsi="Arial"/>
        </w:rPr>
      </w:pPr>
      <w:r>
        <w:rPr>
          <w:rFonts w:ascii="Arial" w:hAnsi="Arial"/>
        </w:rPr>
        <w:t>Suitable for use in industrial sector: Polymer industry</w:t>
      </w:r>
    </w:p>
    <w:p w:rsidR="00E96AD0" w:rsidRDefault="00E96AD0">
      <w:pPr>
        <w:rPr>
          <w:rFonts w:ascii="Arial" w:hAnsi="Arial"/>
        </w:rPr>
      </w:pPr>
    </w:p>
    <w:p w:rsidR="00E96AD0" w:rsidRPr="007A77D7" w:rsidRDefault="00E96AD0" w:rsidP="007A77D7">
      <w:pPr>
        <w:rPr>
          <w:rFonts w:ascii="Arial" w:hAnsi="Arial"/>
          <w:sz w:val="20"/>
        </w:rPr>
      </w:pPr>
      <w:r w:rsidRPr="007A77D7">
        <w:rPr>
          <w:rFonts w:ascii="Arial" w:hAnsi="Arial"/>
          <w:sz w:val="20"/>
        </w:rPr>
        <w:t>The ‘Recommended use’ identified for this product is provided solely to comply with a US Federal re</w:t>
      </w:r>
      <w:r w:rsidR="007A77D7" w:rsidRPr="007A77D7">
        <w:rPr>
          <w:rFonts w:ascii="Arial" w:hAnsi="Arial"/>
          <w:sz w:val="20"/>
        </w:rPr>
        <w:t>quirement and is not part of the seller’s published specification.  The terms of this Safety Data Sheet (SDS) do not create or infer any warranty express or implied by incorporation into or reference in the Seller’s sales agreement.</w:t>
      </w:r>
    </w:p>
    <w:p w:rsidR="00935753" w:rsidRDefault="00935753">
      <w:pPr>
        <w:rPr>
          <w:rFonts w:ascii="Arial" w:hAnsi="Arial"/>
        </w:rPr>
      </w:pPr>
    </w:p>
    <w:p w:rsidR="00935753" w:rsidRPr="00935753" w:rsidRDefault="00935753">
      <w:pPr>
        <w:rPr>
          <w:rFonts w:ascii="Arial" w:hAnsi="Arial"/>
        </w:rPr>
      </w:pPr>
      <w:r w:rsidRPr="00E96AD0">
        <w:rPr>
          <w:rFonts w:ascii="Arial" w:hAnsi="Arial"/>
          <w:b/>
        </w:rPr>
        <w:t>Details of the supplier of the safety data sheet</w:t>
      </w:r>
      <w:r w:rsidR="00E96AD0">
        <w:rPr>
          <w:rFonts w:ascii="Arial" w:hAnsi="Arial"/>
        </w:rPr>
        <w:t>:</w:t>
      </w:r>
    </w:p>
    <w:p w:rsidR="00E96AD0" w:rsidRDefault="00E96AD0">
      <w:pPr>
        <w:rPr>
          <w:rFonts w:ascii="Arial" w:hAnsi="Arial"/>
        </w:rPr>
      </w:pPr>
    </w:p>
    <w:p w:rsidR="00935753" w:rsidRDefault="00E96AD0">
      <w:pPr>
        <w:rPr>
          <w:rFonts w:ascii="Arial" w:hAnsi="Arial"/>
        </w:rPr>
      </w:pPr>
      <w:r w:rsidRPr="00E96AD0">
        <w:rPr>
          <w:rFonts w:ascii="Arial" w:hAnsi="Arial"/>
          <w:u w:val="single"/>
        </w:rPr>
        <w:t>Company</w:t>
      </w:r>
      <w:r>
        <w:rPr>
          <w:rFonts w:ascii="Arial" w:hAnsi="Arial"/>
        </w:rPr>
        <w:t>:</w:t>
      </w:r>
      <w:r w:rsidR="00935753">
        <w:rPr>
          <w:rFonts w:ascii="Arial" w:hAnsi="Arial"/>
        </w:rPr>
        <w:tab/>
      </w:r>
      <w:r w:rsidR="00935753">
        <w:rPr>
          <w:rFonts w:ascii="Arial" w:hAnsi="Arial"/>
        </w:rPr>
        <w:tab/>
      </w:r>
      <w:r w:rsidR="00935753">
        <w:rPr>
          <w:rFonts w:ascii="Arial" w:hAnsi="Arial"/>
        </w:rPr>
        <w:tab/>
      </w:r>
    </w:p>
    <w:tbl>
      <w:tblPr>
        <w:tblW w:w="5000" w:type="pct"/>
        <w:tblLook w:val="0000" w:firstRow="0" w:lastRow="0" w:firstColumn="0" w:lastColumn="0" w:noHBand="0" w:noVBand="0"/>
      </w:tblPr>
      <w:tblGrid>
        <w:gridCol w:w="4788"/>
        <w:gridCol w:w="4788"/>
      </w:tblGrid>
      <w:tr w:rsidR="00935753">
        <w:tc>
          <w:tcPr>
            <w:tcW w:w="2500" w:type="pct"/>
          </w:tcPr>
          <w:p w:rsidR="00935753" w:rsidRDefault="00935753">
            <w:pPr>
              <w:tabs>
                <w:tab w:val="left" w:pos="5040"/>
                <w:tab w:val="left" w:pos="5400"/>
              </w:tabs>
              <w:rPr>
                <w:rFonts w:ascii="Arial" w:hAnsi="Arial"/>
              </w:rPr>
            </w:pPr>
            <w:r>
              <w:rPr>
                <w:rFonts w:ascii="Arial" w:hAnsi="Arial"/>
              </w:rPr>
              <w:t>Nylon Corporation of America</w:t>
            </w:r>
          </w:p>
        </w:tc>
        <w:tc>
          <w:tcPr>
            <w:tcW w:w="2500" w:type="pct"/>
          </w:tcPr>
          <w:p w:rsidR="00935753" w:rsidRDefault="00935753">
            <w:pPr>
              <w:tabs>
                <w:tab w:val="left" w:pos="5040"/>
                <w:tab w:val="left" w:pos="5400"/>
              </w:tabs>
              <w:rPr>
                <w:rFonts w:ascii="Arial" w:hAnsi="Arial"/>
              </w:rPr>
            </w:pPr>
            <w:r>
              <w:rPr>
                <w:rFonts w:ascii="Arial" w:hAnsi="Arial"/>
              </w:rPr>
              <w:t>Ph: 603 627 5150</w:t>
            </w:r>
          </w:p>
        </w:tc>
      </w:tr>
      <w:tr w:rsidR="00935753">
        <w:tc>
          <w:tcPr>
            <w:tcW w:w="2500" w:type="pct"/>
          </w:tcPr>
          <w:p w:rsidR="00935753" w:rsidRDefault="00935753">
            <w:pPr>
              <w:tabs>
                <w:tab w:val="left" w:pos="5040"/>
                <w:tab w:val="left" w:pos="5400"/>
              </w:tabs>
              <w:rPr>
                <w:rFonts w:ascii="Arial" w:hAnsi="Arial"/>
              </w:rPr>
            </w:pPr>
            <w:r>
              <w:rPr>
                <w:rFonts w:ascii="Arial" w:hAnsi="Arial"/>
              </w:rPr>
              <w:t>333 Sundial Avenue</w:t>
            </w:r>
          </w:p>
        </w:tc>
        <w:tc>
          <w:tcPr>
            <w:tcW w:w="2500" w:type="pct"/>
          </w:tcPr>
          <w:p w:rsidR="00935753" w:rsidRDefault="00935753">
            <w:pPr>
              <w:tabs>
                <w:tab w:val="left" w:pos="5040"/>
                <w:tab w:val="left" w:pos="5400"/>
              </w:tabs>
              <w:rPr>
                <w:rFonts w:ascii="Arial" w:hAnsi="Arial"/>
              </w:rPr>
            </w:pPr>
            <w:r>
              <w:rPr>
                <w:rFonts w:ascii="Arial" w:hAnsi="Arial"/>
              </w:rPr>
              <w:t>Fax: 603 627 5154</w:t>
            </w:r>
          </w:p>
        </w:tc>
      </w:tr>
      <w:tr w:rsidR="00935753">
        <w:tc>
          <w:tcPr>
            <w:tcW w:w="2500" w:type="pct"/>
          </w:tcPr>
          <w:p w:rsidR="00E96AD0" w:rsidRDefault="00935753">
            <w:pPr>
              <w:tabs>
                <w:tab w:val="left" w:pos="5040"/>
                <w:tab w:val="left" w:pos="5400"/>
              </w:tabs>
              <w:rPr>
                <w:rFonts w:ascii="Arial" w:hAnsi="Arial"/>
              </w:rPr>
            </w:pPr>
            <w:r>
              <w:rPr>
                <w:rFonts w:ascii="Arial" w:hAnsi="Arial"/>
              </w:rPr>
              <w:t>Manchester, NH 03103</w:t>
            </w:r>
          </w:p>
          <w:p w:rsidR="00E96AD0" w:rsidRDefault="00E96AD0">
            <w:pPr>
              <w:tabs>
                <w:tab w:val="left" w:pos="5040"/>
                <w:tab w:val="left" w:pos="5400"/>
              </w:tabs>
              <w:rPr>
                <w:rFonts w:ascii="Arial" w:hAnsi="Arial"/>
                <w:u w:val="single"/>
              </w:rPr>
            </w:pPr>
          </w:p>
          <w:p w:rsidR="00E96AD0" w:rsidRDefault="00E96AD0">
            <w:pPr>
              <w:tabs>
                <w:tab w:val="left" w:pos="5040"/>
                <w:tab w:val="left" w:pos="5400"/>
              </w:tabs>
              <w:rPr>
                <w:rFonts w:ascii="Arial" w:hAnsi="Arial"/>
              </w:rPr>
            </w:pPr>
            <w:r w:rsidRPr="00E96AD0">
              <w:rPr>
                <w:rFonts w:ascii="Arial" w:hAnsi="Arial"/>
                <w:u w:val="single"/>
              </w:rPr>
              <w:t>Emergency number</w:t>
            </w:r>
            <w:r>
              <w:rPr>
                <w:rFonts w:ascii="Arial" w:hAnsi="Arial"/>
              </w:rPr>
              <w:t>:</w:t>
            </w:r>
          </w:p>
          <w:p w:rsidR="00E96AD0" w:rsidRDefault="00E96AD0">
            <w:pPr>
              <w:tabs>
                <w:tab w:val="left" w:pos="5040"/>
                <w:tab w:val="left" w:pos="5400"/>
              </w:tabs>
              <w:rPr>
                <w:rFonts w:ascii="Arial" w:hAnsi="Arial"/>
              </w:rPr>
            </w:pPr>
            <w:r>
              <w:rPr>
                <w:rFonts w:ascii="Arial" w:hAnsi="Arial"/>
              </w:rPr>
              <w:t xml:space="preserve">Nylon Corporation of America     </w:t>
            </w:r>
          </w:p>
        </w:tc>
        <w:tc>
          <w:tcPr>
            <w:tcW w:w="2500" w:type="pct"/>
          </w:tcPr>
          <w:p w:rsidR="00935753" w:rsidRDefault="00935753">
            <w:pPr>
              <w:tabs>
                <w:tab w:val="left" w:pos="5040"/>
                <w:tab w:val="left" w:pos="5400"/>
              </w:tabs>
              <w:rPr>
                <w:rFonts w:ascii="Arial" w:hAnsi="Arial"/>
              </w:rPr>
            </w:pPr>
          </w:p>
          <w:p w:rsidR="00E96AD0" w:rsidRDefault="00E96AD0">
            <w:pPr>
              <w:tabs>
                <w:tab w:val="left" w:pos="5040"/>
                <w:tab w:val="left" w:pos="5400"/>
              </w:tabs>
              <w:rPr>
                <w:rFonts w:ascii="Arial" w:hAnsi="Arial"/>
              </w:rPr>
            </w:pPr>
          </w:p>
          <w:p w:rsidR="00E96AD0" w:rsidRDefault="00E96AD0" w:rsidP="00E96AD0">
            <w:pPr>
              <w:pStyle w:val="Heading2"/>
              <w:rPr>
                <w:b w:val="0"/>
              </w:rPr>
            </w:pPr>
          </w:p>
          <w:p w:rsidR="00E96AD0" w:rsidRPr="00E96AD0" w:rsidRDefault="00E96AD0" w:rsidP="00E96AD0">
            <w:pPr>
              <w:pStyle w:val="Heading2"/>
              <w:rPr>
                <w:b w:val="0"/>
              </w:rPr>
            </w:pPr>
            <w:r w:rsidRPr="00E96AD0">
              <w:rPr>
                <w:b w:val="0"/>
              </w:rPr>
              <w:t>Ph 603 627 5150 ext 352</w:t>
            </w:r>
          </w:p>
        </w:tc>
      </w:tr>
    </w:tbl>
    <w:p w:rsidR="00935753" w:rsidRDefault="00935753"/>
    <w:p w:rsidR="00935753" w:rsidRDefault="00935753">
      <w:pPr>
        <w:tabs>
          <w:tab w:val="right" w:pos="9360"/>
        </w:tabs>
      </w:pPr>
      <w:r>
        <w:tab/>
        <w:t>______________________________________________________________________________</w:t>
      </w:r>
    </w:p>
    <w:p w:rsidR="00935753" w:rsidRDefault="00935753"/>
    <w:p w:rsidR="00B423A2" w:rsidRPr="00B423A2" w:rsidRDefault="00935753" w:rsidP="00B423A2">
      <w:pPr>
        <w:pStyle w:val="Heading6"/>
        <w:rPr>
          <w:rFonts w:ascii="Times New Roman" w:hAnsi="Times New Roman"/>
          <w:bCs/>
        </w:rPr>
      </w:pPr>
      <w:r w:rsidRPr="000E2EDF">
        <w:rPr>
          <w:rFonts w:ascii="Times New Roman" w:hAnsi="Times New Roman"/>
          <w:bCs/>
          <w:sz w:val="28"/>
        </w:rPr>
        <w:t>S</w:t>
      </w:r>
      <w:r w:rsidR="000E2EDF" w:rsidRPr="000E2EDF">
        <w:rPr>
          <w:rFonts w:ascii="Times New Roman" w:hAnsi="Times New Roman"/>
          <w:bCs/>
          <w:sz w:val="28"/>
        </w:rPr>
        <w:t xml:space="preserve">ection </w:t>
      </w:r>
      <w:r w:rsidRPr="000E2EDF">
        <w:rPr>
          <w:rFonts w:ascii="Times New Roman" w:hAnsi="Times New Roman"/>
          <w:bCs/>
          <w:sz w:val="28"/>
        </w:rPr>
        <w:t xml:space="preserve">II </w:t>
      </w:r>
      <w:r>
        <w:rPr>
          <w:rFonts w:ascii="Times New Roman" w:hAnsi="Times New Roman"/>
          <w:bCs/>
        </w:rPr>
        <w:t>- HAZARDOUS I</w:t>
      </w:r>
      <w:r w:rsidR="00B95A7E">
        <w:rPr>
          <w:rFonts w:ascii="Times New Roman" w:hAnsi="Times New Roman"/>
          <w:bCs/>
        </w:rPr>
        <w:t>DENTIFICATION</w:t>
      </w:r>
      <w:r>
        <w:tab/>
      </w:r>
    </w:p>
    <w:p w:rsidR="00935753" w:rsidRDefault="00935753">
      <w:pPr>
        <w:tabs>
          <w:tab w:val="right" w:pos="9360"/>
        </w:tabs>
      </w:pPr>
      <w:r>
        <w:t>______________________________________________________________________________</w:t>
      </w:r>
    </w:p>
    <w:p w:rsidR="00935753" w:rsidRDefault="00935753"/>
    <w:p w:rsidR="00B423A2" w:rsidRPr="00B423A2" w:rsidRDefault="00B423A2">
      <w:pPr>
        <w:tabs>
          <w:tab w:val="left" w:pos="-1080"/>
          <w:tab w:val="left" w:pos="-720"/>
          <w:tab w:val="left" w:pos="0"/>
          <w:tab w:val="left" w:pos="720"/>
          <w:tab w:val="left" w:pos="1440"/>
          <w:tab w:val="left" w:pos="2160"/>
          <w:tab w:val="left" w:pos="2880"/>
          <w:tab w:val="left" w:pos="3600"/>
          <w:tab w:val="left" w:pos="4320"/>
          <w:tab w:val="left" w:pos="4680"/>
          <w:tab w:val="left" w:pos="5220"/>
          <w:tab w:val="left" w:pos="6120"/>
          <w:tab w:val="left" w:pos="6840"/>
          <w:tab w:val="left" w:pos="7380"/>
          <w:tab w:val="left" w:pos="7920"/>
          <w:tab w:val="left" w:pos="9360"/>
        </w:tabs>
        <w:rPr>
          <w:b/>
          <w:sz w:val="20"/>
          <w:u w:val="single"/>
        </w:rPr>
      </w:pPr>
      <w:r w:rsidRPr="00B423A2">
        <w:rPr>
          <w:b/>
          <w:sz w:val="20"/>
          <w:u w:val="single"/>
        </w:rPr>
        <w:t>According to Regulation 2012 OSHA Hazard Communication Standard: 29 CFR Part 1910.1200</w:t>
      </w:r>
    </w:p>
    <w:p w:rsidR="00B423A2" w:rsidRDefault="00B423A2">
      <w:pPr>
        <w:tabs>
          <w:tab w:val="left" w:pos="-1080"/>
          <w:tab w:val="left" w:pos="-720"/>
          <w:tab w:val="left" w:pos="0"/>
          <w:tab w:val="left" w:pos="720"/>
          <w:tab w:val="left" w:pos="1440"/>
          <w:tab w:val="left" w:pos="2160"/>
          <w:tab w:val="left" w:pos="2880"/>
          <w:tab w:val="left" w:pos="3600"/>
          <w:tab w:val="left" w:pos="4320"/>
          <w:tab w:val="left" w:pos="4680"/>
          <w:tab w:val="left" w:pos="5220"/>
          <w:tab w:val="left" w:pos="6120"/>
          <w:tab w:val="left" w:pos="6840"/>
          <w:tab w:val="left" w:pos="7380"/>
          <w:tab w:val="left" w:pos="7920"/>
          <w:tab w:val="left" w:pos="9360"/>
        </w:tabs>
        <w:rPr>
          <w:sz w:val="20"/>
        </w:rPr>
      </w:pPr>
    </w:p>
    <w:p w:rsidR="00B423A2" w:rsidRPr="00B64B1A" w:rsidRDefault="00B64B1A">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sz w:val="22"/>
        </w:rPr>
      </w:pPr>
      <w:r w:rsidRPr="00B64B1A">
        <w:rPr>
          <w:sz w:val="22"/>
        </w:rPr>
        <w:t>No need for classification according to GHS criteria for this product</w:t>
      </w:r>
    </w:p>
    <w:p w:rsidR="00B423A2" w:rsidRDefault="00B423A2">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rFonts w:ascii="Arial" w:hAnsi="Arial" w:cs="Arial"/>
          <w:b/>
        </w:rPr>
      </w:pPr>
    </w:p>
    <w:p w:rsidR="00B64B1A" w:rsidRDefault="00B64B1A">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rFonts w:ascii="Arial" w:hAnsi="Arial" w:cs="Arial"/>
          <w:b/>
        </w:rPr>
      </w:pPr>
    </w:p>
    <w:p w:rsidR="00B423A2" w:rsidRPr="00890CF0" w:rsidRDefault="00B423A2">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sz w:val="22"/>
        </w:rPr>
      </w:pPr>
      <w:r w:rsidRPr="00890CF0">
        <w:rPr>
          <w:b/>
          <w:sz w:val="22"/>
        </w:rPr>
        <w:t>Hazards not otherwise classified</w:t>
      </w:r>
      <w:r w:rsidRPr="00890CF0">
        <w:rPr>
          <w:sz w:val="22"/>
        </w:rPr>
        <w:t>:</w:t>
      </w:r>
    </w:p>
    <w:p w:rsidR="00B423A2" w:rsidRDefault="00B423A2">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sz w:val="22"/>
        </w:rPr>
      </w:pPr>
      <w:r w:rsidRPr="00890CF0">
        <w:rPr>
          <w:sz w:val="22"/>
        </w:rPr>
        <w:t>No specific dangers known, if the regulations/notes for storage and handling are considered.</w:t>
      </w:r>
    </w:p>
    <w:p w:rsidR="00DF650A" w:rsidRDefault="00DF650A">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sz w:val="22"/>
        </w:rPr>
      </w:pPr>
    </w:p>
    <w:p w:rsidR="00DF650A" w:rsidRPr="00890CF0" w:rsidRDefault="00DF650A">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sz w:val="22"/>
        </w:rPr>
      </w:pPr>
      <w:r>
        <w:rPr>
          <w:sz w:val="22"/>
        </w:rPr>
        <w:t>There is NO chemical present in this product at a concentration of 0.1% or more that has been classified as a carcinogen by IARC, NTP or OSHA.</w:t>
      </w:r>
    </w:p>
    <w:p w:rsidR="00510A07" w:rsidRPr="00510A07" w:rsidRDefault="00510A07">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rFonts w:ascii="Arial" w:hAnsi="Arial" w:cs="Arial"/>
        </w:rPr>
      </w:pPr>
    </w:p>
    <w:p w:rsidR="00510A07" w:rsidRPr="00890CF0" w:rsidRDefault="00510A07" w:rsidP="00510A07">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sz w:val="22"/>
        </w:rPr>
      </w:pPr>
      <w:r w:rsidRPr="00890CF0">
        <w:rPr>
          <w:sz w:val="22"/>
        </w:rPr>
        <w:t xml:space="preserve">NYCOA Nylons are thermoplastic resins.  In the solid state, they are not hazardous.  </w:t>
      </w:r>
    </w:p>
    <w:p w:rsidR="00510A07" w:rsidRPr="00890CF0" w:rsidRDefault="00510A07" w:rsidP="00510A07">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sz w:val="22"/>
        </w:rPr>
      </w:pPr>
      <w:r w:rsidRPr="00890CF0">
        <w:rPr>
          <w:sz w:val="22"/>
        </w:rPr>
        <w:lastRenderedPageBreak/>
        <w:t>During processing when converted to the molten state, normal precautions for the handling of hot, sticky, fluid melts should be observed.</w:t>
      </w:r>
    </w:p>
    <w:p w:rsidR="00510A07" w:rsidRPr="00890CF0" w:rsidRDefault="00510A07">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sz w:val="22"/>
        </w:rPr>
      </w:pPr>
    </w:p>
    <w:p w:rsidR="00B423A2" w:rsidRPr="00890CF0" w:rsidRDefault="00B423A2">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b/>
          <w:sz w:val="22"/>
        </w:rPr>
      </w:pPr>
      <w:r w:rsidRPr="00890CF0">
        <w:rPr>
          <w:b/>
          <w:sz w:val="22"/>
        </w:rPr>
        <w:t xml:space="preserve">Label elements:  </w:t>
      </w:r>
    </w:p>
    <w:p w:rsidR="00935753" w:rsidRPr="00890CF0" w:rsidRDefault="00B423A2">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pPr>
      <w:r w:rsidRPr="00890CF0">
        <w:rPr>
          <w:sz w:val="22"/>
        </w:rPr>
        <w:t>The product does not require a hazard warning label in accordance with GHS criteria</w:t>
      </w:r>
      <w:r w:rsidRPr="00890CF0">
        <w:t>:</w:t>
      </w:r>
    </w:p>
    <w:p w:rsidR="00935753" w:rsidRPr="00890CF0" w:rsidRDefault="00935753">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pPr>
    </w:p>
    <w:p w:rsidR="00935753" w:rsidRDefault="00935753">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pPr>
    </w:p>
    <w:p w:rsidR="00935753" w:rsidRDefault="00935753">
      <w:pPr>
        <w:tabs>
          <w:tab w:val="right" w:pos="9360"/>
        </w:tabs>
      </w:pPr>
      <w:r>
        <w:tab/>
        <w:t>______________________________________________________________________________</w:t>
      </w:r>
    </w:p>
    <w:p w:rsidR="00935753" w:rsidRDefault="00935753">
      <w:pPr>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pPr>
    </w:p>
    <w:p w:rsidR="00935753" w:rsidRDefault="00935753">
      <w:pPr>
        <w:pStyle w:val="Heading6"/>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rPr>
          <w:rFonts w:ascii="Times New Roman" w:hAnsi="Times New Roman"/>
          <w:bCs/>
        </w:rPr>
      </w:pPr>
      <w:r w:rsidRPr="000E2EDF">
        <w:rPr>
          <w:rFonts w:ascii="Times New Roman" w:hAnsi="Times New Roman"/>
          <w:bCs/>
          <w:sz w:val="28"/>
        </w:rPr>
        <w:t>S</w:t>
      </w:r>
      <w:r w:rsidR="000E2EDF" w:rsidRPr="000E2EDF">
        <w:rPr>
          <w:rFonts w:ascii="Times New Roman" w:hAnsi="Times New Roman"/>
          <w:bCs/>
          <w:sz w:val="28"/>
        </w:rPr>
        <w:t>ection</w:t>
      </w:r>
      <w:r w:rsidRPr="000E2EDF">
        <w:rPr>
          <w:rFonts w:ascii="Times New Roman" w:hAnsi="Times New Roman"/>
          <w:bCs/>
          <w:sz w:val="28"/>
        </w:rPr>
        <w:t xml:space="preserve"> III </w:t>
      </w:r>
      <w:r w:rsidR="00CD1EAC">
        <w:rPr>
          <w:rFonts w:ascii="Times New Roman" w:hAnsi="Times New Roman"/>
          <w:bCs/>
        </w:rPr>
        <w:t>–</w:t>
      </w:r>
      <w:r>
        <w:rPr>
          <w:rFonts w:ascii="Times New Roman" w:hAnsi="Times New Roman"/>
          <w:bCs/>
        </w:rPr>
        <w:t xml:space="preserve"> </w:t>
      </w:r>
      <w:r w:rsidR="00CD1EAC">
        <w:rPr>
          <w:rFonts w:ascii="Times New Roman" w:hAnsi="Times New Roman"/>
          <w:bCs/>
        </w:rPr>
        <w:t>COMPOSITION/INFORMATION ON INGREDIENTS</w:t>
      </w:r>
    </w:p>
    <w:p w:rsidR="00935753" w:rsidRDefault="00935753">
      <w:pPr>
        <w:tabs>
          <w:tab w:val="right" w:pos="9360"/>
        </w:tabs>
      </w:pPr>
      <w:r>
        <w:tab/>
        <w:t>______________________________________________________________________________</w:t>
      </w:r>
    </w:p>
    <w:p w:rsidR="007822FB" w:rsidRDefault="007822FB" w:rsidP="007822FB">
      <w:pPr>
        <w:tabs>
          <w:tab w:val="left" w:pos="-1080"/>
          <w:tab w:val="left" w:pos="-720"/>
          <w:tab w:val="left" w:pos="0"/>
          <w:tab w:val="left" w:pos="720"/>
          <w:tab w:val="left" w:pos="1440"/>
          <w:tab w:val="left" w:pos="2160"/>
          <w:tab w:val="left" w:pos="2880"/>
          <w:tab w:val="left" w:pos="3600"/>
          <w:tab w:val="left" w:pos="4320"/>
          <w:tab w:val="left" w:pos="4680"/>
          <w:tab w:val="left" w:pos="5220"/>
          <w:tab w:val="left" w:pos="6120"/>
          <w:tab w:val="left" w:pos="6840"/>
          <w:tab w:val="left" w:pos="7380"/>
          <w:tab w:val="left" w:pos="7920"/>
          <w:tab w:val="left" w:pos="9360"/>
        </w:tabs>
        <w:rPr>
          <w:b/>
          <w:sz w:val="20"/>
          <w:u w:val="single"/>
        </w:rPr>
      </w:pPr>
    </w:p>
    <w:p w:rsidR="007822FB" w:rsidRPr="00B423A2" w:rsidRDefault="007822FB" w:rsidP="007822FB">
      <w:pPr>
        <w:tabs>
          <w:tab w:val="left" w:pos="-1080"/>
          <w:tab w:val="left" w:pos="-720"/>
          <w:tab w:val="left" w:pos="0"/>
          <w:tab w:val="left" w:pos="720"/>
          <w:tab w:val="left" w:pos="1440"/>
          <w:tab w:val="left" w:pos="2160"/>
          <w:tab w:val="left" w:pos="2880"/>
          <w:tab w:val="left" w:pos="3600"/>
          <w:tab w:val="left" w:pos="4320"/>
          <w:tab w:val="left" w:pos="4680"/>
          <w:tab w:val="left" w:pos="5220"/>
          <w:tab w:val="left" w:pos="6120"/>
          <w:tab w:val="left" w:pos="6840"/>
          <w:tab w:val="left" w:pos="7380"/>
          <w:tab w:val="left" w:pos="7920"/>
          <w:tab w:val="left" w:pos="9360"/>
        </w:tabs>
        <w:rPr>
          <w:b/>
          <w:sz w:val="20"/>
          <w:u w:val="single"/>
        </w:rPr>
      </w:pPr>
      <w:r w:rsidRPr="00B423A2">
        <w:rPr>
          <w:b/>
          <w:sz w:val="20"/>
          <w:u w:val="single"/>
        </w:rPr>
        <w:t>According to Regulation 2012 OSHA Hazard Communication Standard: 29 CFR Part 1910.1200</w:t>
      </w:r>
    </w:p>
    <w:p w:rsidR="007822FB" w:rsidRDefault="007822FB" w:rsidP="00CD1EAC">
      <w:pPr>
        <w:rPr>
          <w:u w:val="single"/>
        </w:rPr>
      </w:pPr>
    </w:p>
    <w:p w:rsidR="007822FB" w:rsidRDefault="007822FB" w:rsidP="00CD1EAC">
      <w:pPr>
        <w:rPr>
          <w:u w:val="single"/>
        </w:rPr>
      </w:pPr>
      <w:r w:rsidRPr="007822FB">
        <w:rPr>
          <w:b/>
          <w:u w:val="single"/>
        </w:rPr>
        <w:t>CAS Number</w:t>
      </w:r>
      <w:r w:rsidRPr="007822FB">
        <w:tab/>
      </w:r>
      <w:r w:rsidRPr="007822FB">
        <w:tab/>
      </w:r>
      <w:r w:rsidRPr="007822FB">
        <w:tab/>
      </w:r>
      <w:r w:rsidRPr="007822FB">
        <w:rPr>
          <w:b/>
          <w:u w:val="single"/>
        </w:rPr>
        <w:t>Content (W/W)</w:t>
      </w:r>
      <w:r w:rsidRPr="007822FB">
        <w:tab/>
      </w:r>
      <w:r w:rsidRPr="007822FB">
        <w:rPr>
          <w:b/>
          <w:u w:val="single"/>
        </w:rPr>
        <w:t>Chemical Name</w:t>
      </w:r>
    </w:p>
    <w:p w:rsidR="00DF650A" w:rsidRDefault="00222A6E" w:rsidP="00DF650A">
      <w:pPr>
        <w:rPr>
          <w:u w:val="single"/>
        </w:rPr>
      </w:pPr>
      <w:r>
        <w:t>51995-62-1</w:t>
      </w:r>
      <w:r w:rsidR="00DF650A">
        <w:tab/>
      </w:r>
      <w:r w:rsidR="00DF650A">
        <w:tab/>
      </w:r>
      <w:r w:rsidR="00DF650A">
        <w:tab/>
        <w:t>=&gt;</w:t>
      </w:r>
      <w:r w:rsidR="000F2CB1">
        <w:t>9</w:t>
      </w:r>
      <w:r w:rsidR="00DF650A">
        <w:t>0% - =&lt;</w:t>
      </w:r>
      <w:r w:rsidR="000F2CB1">
        <w:t>10</w:t>
      </w:r>
      <w:r w:rsidR="00DF650A">
        <w:t>0%</w:t>
      </w:r>
      <w:r w:rsidR="00DF650A">
        <w:tab/>
      </w:r>
      <w:r w:rsidR="00DF650A">
        <w:rPr>
          <w:lang w:val="fr-FR"/>
        </w:rPr>
        <w:t>Polycaprolactam/Polyamide 6</w:t>
      </w:r>
    </w:p>
    <w:p w:rsidR="00DF650A" w:rsidRDefault="00DF650A" w:rsidP="00CD1EAC"/>
    <w:p w:rsidR="007822FB" w:rsidRDefault="00B64B1A" w:rsidP="00CD1EAC">
      <w:pPr>
        <w:rPr>
          <w:lang w:val="fr-FR"/>
        </w:rPr>
      </w:pPr>
      <w:r>
        <w:t>105-60-2</w:t>
      </w:r>
      <w:r w:rsidR="007822FB">
        <w:tab/>
      </w:r>
      <w:r w:rsidR="007822FB">
        <w:tab/>
      </w:r>
      <w:r w:rsidR="007822FB">
        <w:tab/>
      </w:r>
      <w:r w:rsidR="007822FB">
        <w:tab/>
      </w:r>
      <w:r>
        <w:t xml:space="preserve">=&lt; </w:t>
      </w:r>
      <w:r w:rsidR="000A4A48">
        <w:t>5</w:t>
      </w:r>
      <w:r>
        <w:t>%</w:t>
      </w:r>
      <w:r w:rsidR="00F55453">
        <w:tab/>
      </w:r>
      <w:r>
        <w:rPr>
          <w:lang w:val="fr-FR"/>
        </w:rPr>
        <w:t>Caprolactam</w:t>
      </w:r>
    </w:p>
    <w:p w:rsidR="00F55453" w:rsidRDefault="00F55453" w:rsidP="00CD1EAC">
      <w:pPr>
        <w:rPr>
          <w:lang w:val="fr-FR"/>
        </w:rPr>
      </w:pPr>
    </w:p>
    <w:p w:rsidR="00935753" w:rsidRDefault="00935753">
      <w:pPr>
        <w:tabs>
          <w:tab w:val="right" w:pos="9360"/>
        </w:tabs>
      </w:pPr>
      <w:r>
        <w:tab/>
        <w:t>______________________________________________________________________________</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35753" w:rsidRDefault="00935753">
      <w:pPr>
        <w:pStyle w:val="Heading6"/>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New Roman" w:hAnsi="Times New Roman"/>
          <w:bCs/>
        </w:rPr>
      </w:pPr>
      <w:r w:rsidRPr="000E2EDF">
        <w:rPr>
          <w:rFonts w:ascii="Times New Roman" w:hAnsi="Times New Roman"/>
          <w:bCs/>
          <w:sz w:val="28"/>
        </w:rPr>
        <w:t>S</w:t>
      </w:r>
      <w:r w:rsidR="000E2EDF" w:rsidRPr="000E2EDF">
        <w:rPr>
          <w:rFonts w:ascii="Times New Roman" w:hAnsi="Times New Roman"/>
          <w:bCs/>
          <w:sz w:val="28"/>
        </w:rPr>
        <w:t>ection</w:t>
      </w:r>
      <w:r>
        <w:rPr>
          <w:rFonts w:ascii="Times New Roman" w:hAnsi="Times New Roman"/>
          <w:bCs/>
        </w:rPr>
        <w:t xml:space="preserve"> </w:t>
      </w:r>
      <w:r w:rsidR="0004477C">
        <w:rPr>
          <w:rFonts w:ascii="Times New Roman" w:hAnsi="Times New Roman"/>
          <w:bCs/>
        </w:rPr>
        <w:t>I</w:t>
      </w:r>
      <w:r>
        <w:rPr>
          <w:rFonts w:ascii="Times New Roman" w:hAnsi="Times New Roman"/>
          <w:bCs/>
        </w:rPr>
        <w:t xml:space="preserve">V </w:t>
      </w:r>
      <w:r w:rsidR="0004477C">
        <w:rPr>
          <w:rFonts w:ascii="Times New Roman" w:hAnsi="Times New Roman"/>
          <w:bCs/>
        </w:rPr>
        <w:t>–</w:t>
      </w:r>
      <w:r>
        <w:rPr>
          <w:rFonts w:ascii="Times New Roman" w:hAnsi="Times New Roman"/>
          <w:bCs/>
        </w:rPr>
        <w:t xml:space="preserve"> </w:t>
      </w:r>
      <w:r w:rsidR="0004477C">
        <w:rPr>
          <w:rFonts w:ascii="Times New Roman" w:hAnsi="Times New Roman"/>
          <w:bCs/>
        </w:rPr>
        <w:t>FIRST-AID MEASURES</w:t>
      </w:r>
    </w:p>
    <w:p w:rsidR="00935753" w:rsidRDefault="00935753">
      <w:pPr>
        <w:tabs>
          <w:tab w:val="right" w:pos="9360"/>
        </w:tabs>
      </w:pPr>
      <w:r>
        <w:tab/>
        <w:t>______________________________________________________________________________</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35753" w:rsidRP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rPr>
      </w:pPr>
      <w:r w:rsidRPr="00AD532B">
        <w:rPr>
          <w:b/>
        </w:rPr>
        <w:t>General advice:</w:t>
      </w: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Avoid contact with skin, eyes and clothing</w:t>
      </w:r>
    </w:p>
    <w:p w:rsidR="00935753"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Remove contaminated clothing</w:t>
      </w: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AD532B">
        <w:rPr>
          <w:b/>
        </w:rPr>
        <w:t>If Ingested</w:t>
      </w:r>
      <w:r>
        <w:t>:</w:t>
      </w:r>
    </w:p>
    <w:p w:rsidR="00AD532B" w:rsidRDefault="00FC37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Low toxicity, not a probable</w:t>
      </w:r>
      <w:r w:rsidR="00AD532B">
        <w:t xml:space="preserve"> route of exposure.  If ingested seek medical attention</w:t>
      </w:r>
      <w:r>
        <w:t>.</w:t>
      </w: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AD532B">
        <w:rPr>
          <w:b/>
        </w:rPr>
        <w:t>If Inhaled</w:t>
      </w:r>
      <w:r>
        <w:t>:</w:t>
      </w:r>
    </w:p>
    <w:p w:rsidR="00AD532B" w:rsidRDefault="004D7DF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Pellets not respirable.  Vapors evolved during normal processing may be irritating to the respiratory tract if adequate ventilation is not provided</w:t>
      </w:r>
      <w:r w:rsidR="00FC37E3">
        <w:t>.</w:t>
      </w:r>
      <w:r>
        <w:t xml:space="preserve">  Move the affected individual to fresh air and assist in breathing if necessary.  Seek medical attention. </w:t>
      </w: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AD532B" w:rsidRP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rPr>
      </w:pPr>
      <w:r w:rsidRPr="00AD532B">
        <w:rPr>
          <w:b/>
        </w:rPr>
        <w:t>If on skin:</w:t>
      </w:r>
    </w:p>
    <w:p w:rsidR="004D7DFA"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Burns caused by molten material require hospital treatment</w:t>
      </w:r>
      <w:r w:rsidR="00FC37E3">
        <w:t>.</w:t>
      </w:r>
      <w:r w:rsidR="004D7DFA">
        <w:t xml:space="preserve">  Flush with cool water immediately.</w:t>
      </w:r>
    </w:p>
    <w:p w:rsidR="004D7DFA" w:rsidRDefault="004D7DF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Dermatitis may result from repeated skin contact.  Flush with cool water.  Seek medical attention if a severe reaction occurs.</w:t>
      </w:r>
    </w:p>
    <w:p w:rsidR="000B284B" w:rsidRDefault="000B28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AD532B">
        <w:rPr>
          <w:b/>
        </w:rPr>
        <w:t>If in eyes</w:t>
      </w:r>
      <w:r>
        <w:t>:</w:t>
      </w: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Continuously rinse eyes immediately for at least 20 minutes.  If irritation develops, seek medical attention.</w:t>
      </w: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 xml:space="preserve"> </w:t>
      </w:r>
    </w:p>
    <w:p w:rsidR="00683767" w:rsidRDefault="006837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683767" w:rsidRDefault="006837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683767" w:rsidRDefault="006837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AD532B" w:rsidRPr="00A240FA"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rPr>
      </w:pPr>
      <w:r w:rsidRPr="00A240FA">
        <w:rPr>
          <w:b/>
        </w:rPr>
        <w:t>Important symptoms and effects, both acute and delayed</w:t>
      </w: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A240FA">
        <w:rPr>
          <w:b/>
        </w:rPr>
        <w:t>Symptoms</w:t>
      </w:r>
      <w:r>
        <w:t xml:space="preserve">: </w:t>
      </w:r>
      <w:r w:rsidR="00A240FA">
        <w:t>No significant reaction of the human body to the product is known.</w:t>
      </w:r>
    </w:p>
    <w:p w:rsidR="00A240FA" w:rsidRDefault="00A240F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A240FA">
        <w:rPr>
          <w:b/>
        </w:rPr>
        <w:t>Hazards</w:t>
      </w:r>
      <w:r>
        <w:t>: No hazard is expected under intended use and appropriate handling</w:t>
      </w:r>
    </w:p>
    <w:p w:rsidR="00A240FA" w:rsidRDefault="00A240F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A240FA" w:rsidRDefault="00A240F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A240FA">
        <w:rPr>
          <w:b/>
        </w:rPr>
        <w:t>Indication of any immediate medical attention and special treatment needed</w:t>
      </w:r>
      <w:r>
        <w:t>:</w:t>
      </w:r>
    </w:p>
    <w:p w:rsidR="00A240FA" w:rsidRDefault="00A240F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Treat symptomatically</w:t>
      </w:r>
    </w:p>
    <w:p w:rsidR="00AD532B" w:rsidRDefault="00AD5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E0A72" w:rsidRDefault="009E0A72" w:rsidP="009E0A72">
      <w:pPr>
        <w:tabs>
          <w:tab w:val="right" w:pos="9360"/>
        </w:tabs>
      </w:pPr>
      <w:r>
        <w:t>______________________________________________________________________________</w:t>
      </w:r>
    </w:p>
    <w:p w:rsidR="009E0A72" w:rsidRDefault="009E0A72" w:rsidP="009E0A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E0A72" w:rsidRDefault="009E0A72" w:rsidP="009E0A72">
      <w:pPr>
        <w:pStyle w:val="Heading6"/>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New Roman" w:hAnsi="Times New Roman"/>
          <w:bCs/>
        </w:rPr>
      </w:pPr>
      <w:r w:rsidRPr="009E0A72">
        <w:rPr>
          <w:rFonts w:ascii="Times New Roman" w:hAnsi="Times New Roman"/>
          <w:bCs/>
          <w:sz w:val="28"/>
        </w:rPr>
        <w:t>Section</w:t>
      </w:r>
      <w:r>
        <w:rPr>
          <w:rFonts w:ascii="Times New Roman" w:hAnsi="Times New Roman"/>
          <w:bCs/>
        </w:rPr>
        <w:t xml:space="preserve"> V - FIRE –FIGHTING MEASURES</w:t>
      </w:r>
    </w:p>
    <w:p w:rsidR="009E0A72" w:rsidRDefault="009E0A72" w:rsidP="009E0A72">
      <w:pPr>
        <w:tabs>
          <w:tab w:val="right" w:pos="9360"/>
        </w:tabs>
      </w:pPr>
      <w:r>
        <w:tab/>
        <w:t>______________________________________________________________________________</w:t>
      </w:r>
    </w:p>
    <w:p w:rsidR="009E0A72" w:rsidRDefault="009E0A72" w:rsidP="009E0A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E0A72" w:rsidRDefault="009E0A72" w:rsidP="009E0A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lang w:val="fr-FR"/>
        </w:rPr>
      </w:pPr>
    </w:p>
    <w:p w:rsidR="009E0A72" w:rsidRDefault="009E0A72" w:rsidP="009E0A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4320"/>
      </w:pPr>
      <w:r>
        <w:t>Extinguishing Media:</w:t>
      </w:r>
      <w:r>
        <w:tab/>
      </w:r>
      <w:r>
        <w:tab/>
      </w:r>
      <w:r>
        <w:tab/>
      </w:r>
      <w:r>
        <w:tab/>
        <w:t>Water, Foam, Carbon Dioxide, Dry Chemical.</w:t>
      </w:r>
    </w:p>
    <w:p w:rsidR="009E0A72" w:rsidRDefault="009E0A72" w:rsidP="009E0A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E0A72" w:rsidRDefault="009E0A72" w:rsidP="009E0A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4320"/>
      </w:pPr>
      <w:r>
        <w:t>Unusual Fire and Explosion Hazards:</w:t>
      </w:r>
      <w:r>
        <w:tab/>
        <w:t>Smoke and noxious gases (carbon monoxide, hydrocarbons, ammonia, hydrogen cyanide) evolved upon burning.</w:t>
      </w:r>
    </w:p>
    <w:p w:rsidR="009E0A72" w:rsidRDefault="009E0A72" w:rsidP="009E0A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E0A72" w:rsidRDefault="009E0A72" w:rsidP="009E0A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4320"/>
      </w:pPr>
      <w:r>
        <w:t>Special Fire Fighting Procedures:</w:t>
      </w:r>
      <w:r>
        <w:tab/>
      </w:r>
      <w:r>
        <w:tab/>
        <w:t>Self-contained breathing apparatus in any closed space.</w:t>
      </w:r>
    </w:p>
    <w:p w:rsidR="00935753" w:rsidRDefault="00935753" w:rsidP="000B284B">
      <w:pPr>
        <w:tabs>
          <w:tab w:val="right" w:pos="9360"/>
        </w:tabs>
      </w:pPr>
    </w:p>
    <w:p w:rsidR="00935753" w:rsidRDefault="00935753" w:rsidP="000B28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35753" w:rsidRDefault="00935753">
      <w:pPr>
        <w:tabs>
          <w:tab w:val="right" w:pos="9360"/>
        </w:tabs>
      </w:pPr>
      <w:r>
        <w:tab/>
        <w:t>______________________________________________________________________________</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pPr>
    </w:p>
    <w:p w:rsidR="00935753" w:rsidRDefault="0004477C">
      <w:pPr>
        <w:pStyle w:val="Heading6"/>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New Roman" w:hAnsi="Times New Roman"/>
          <w:bCs/>
        </w:rPr>
      </w:pPr>
      <w:r w:rsidRPr="000E2EDF">
        <w:rPr>
          <w:rFonts w:ascii="Times New Roman" w:hAnsi="Times New Roman"/>
          <w:bCs/>
          <w:sz w:val="28"/>
        </w:rPr>
        <w:t>S</w:t>
      </w:r>
      <w:r w:rsidR="000E2EDF" w:rsidRPr="000E2EDF">
        <w:rPr>
          <w:rFonts w:ascii="Times New Roman" w:hAnsi="Times New Roman"/>
          <w:bCs/>
          <w:sz w:val="28"/>
        </w:rPr>
        <w:t>ection</w:t>
      </w:r>
      <w:r>
        <w:rPr>
          <w:rFonts w:ascii="Times New Roman" w:hAnsi="Times New Roman"/>
          <w:bCs/>
        </w:rPr>
        <w:t xml:space="preserve"> VI</w:t>
      </w:r>
      <w:r w:rsidR="00935753">
        <w:rPr>
          <w:rFonts w:ascii="Times New Roman" w:hAnsi="Times New Roman"/>
          <w:bCs/>
        </w:rPr>
        <w:t xml:space="preserve"> </w:t>
      </w:r>
      <w:r>
        <w:rPr>
          <w:rFonts w:ascii="Times New Roman" w:hAnsi="Times New Roman"/>
          <w:bCs/>
        </w:rPr>
        <w:t>–</w:t>
      </w:r>
      <w:r w:rsidR="00935753">
        <w:rPr>
          <w:rFonts w:ascii="Times New Roman" w:hAnsi="Times New Roman"/>
          <w:bCs/>
        </w:rPr>
        <w:t xml:space="preserve"> </w:t>
      </w:r>
      <w:r>
        <w:rPr>
          <w:rFonts w:ascii="Times New Roman" w:hAnsi="Times New Roman"/>
          <w:bCs/>
        </w:rPr>
        <w:t>ACCIDENTAL RELEASE MEASURES</w:t>
      </w:r>
    </w:p>
    <w:p w:rsidR="00935753" w:rsidRDefault="00935753">
      <w:pPr>
        <w:tabs>
          <w:tab w:val="right" w:pos="9360"/>
        </w:tabs>
      </w:pPr>
      <w:r>
        <w:tab/>
        <w:t>______________________________________________________________________________</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AD2628" w:rsidRDefault="00AD26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No special personal precautions or emergency procedures are necessary.</w:t>
      </w:r>
    </w:p>
    <w:p w:rsidR="00AD2628" w:rsidRDefault="00AD26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 xml:space="preserve">Steps to be Taken in Care Material is </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Released or Spilled:</w:t>
      </w:r>
      <w:r>
        <w:tab/>
      </w:r>
      <w:r>
        <w:tab/>
      </w:r>
      <w:r>
        <w:tab/>
      </w:r>
      <w:r>
        <w:tab/>
        <w:t>Sweep up and discard.</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4320"/>
      </w:pPr>
      <w:r>
        <w:t>Waste Disposal Method:</w:t>
      </w:r>
      <w:r>
        <w:tab/>
      </w:r>
      <w:r>
        <w:tab/>
      </w:r>
      <w:r>
        <w:tab/>
        <w:t>Landfill in accordance with local, state and federal laws.</w:t>
      </w:r>
    </w:p>
    <w:p w:rsidR="00566943" w:rsidRDefault="00935753">
      <w:pPr>
        <w:tabs>
          <w:tab w:val="right" w:pos="9360"/>
        </w:tabs>
      </w:pPr>
      <w:r>
        <w:tab/>
      </w:r>
    </w:p>
    <w:p w:rsidR="00566943" w:rsidRDefault="00566943">
      <w:pPr>
        <w:tabs>
          <w:tab w:val="right" w:pos="9360"/>
        </w:tabs>
      </w:pPr>
    </w:p>
    <w:p w:rsidR="00566943" w:rsidRDefault="00566943">
      <w:pPr>
        <w:tabs>
          <w:tab w:val="right" w:pos="9360"/>
        </w:tabs>
      </w:pPr>
    </w:p>
    <w:p w:rsidR="00683767" w:rsidRDefault="00683767">
      <w:pPr>
        <w:tabs>
          <w:tab w:val="right" w:pos="9360"/>
        </w:tabs>
      </w:pPr>
    </w:p>
    <w:p w:rsidR="00683767" w:rsidRDefault="00683767">
      <w:pPr>
        <w:tabs>
          <w:tab w:val="right" w:pos="9360"/>
        </w:tabs>
      </w:pPr>
    </w:p>
    <w:p w:rsidR="00683767" w:rsidRDefault="00683767">
      <w:pPr>
        <w:tabs>
          <w:tab w:val="right" w:pos="9360"/>
        </w:tabs>
      </w:pPr>
    </w:p>
    <w:p w:rsidR="00683767" w:rsidRDefault="00683767">
      <w:pPr>
        <w:tabs>
          <w:tab w:val="right" w:pos="9360"/>
        </w:tabs>
      </w:pPr>
    </w:p>
    <w:p w:rsidR="00566943" w:rsidRDefault="00566943" w:rsidP="00566943">
      <w:pPr>
        <w:tabs>
          <w:tab w:val="right" w:pos="9360"/>
        </w:tabs>
      </w:pPr>
      <w:r>
        <w:t>______________________________________________________________________________</w:t>
      </w:r>
    </w:p>
    <w:p w:rsidR="00566943" w:rsidRDefault="00566943" w:rsidP="005669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566943" w:rsidRDefault="00566943" w:rsidP="005669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rPr>
      </w:pPr>
      <w:r w:rsidRPr="000E2EDF">
        <w:rPr>
          <w:b/>
          <w:bCs/>
          <w:sz w:val="28"/>
        </w:rPr>
        <w:t>Section</w:t>
      </w:r>
      <w:r>
        <w:rPr>
          <w:b/>
          <w:bCs/>
        </w:rPr>
        <w:t xml:space="preserve"> VII – HANDLING AND STORAGE</w:t>
      </w:r>
    </w:p>
    <w:p w:rsidR="00566943" w:rsidRDefault="00566943" w:rsidP="00566943">
      <w:pPr>
        <w:tabs>
          <w:tab w:val="right" w:pos="9360"/>
        </w:tabs>
      </w:pPr>
      <w:r>
        <w:tab/>
        <w:t>______________________________________________________________________________</w:t>
      </w:r>
    </w:p>
    <w:p w:rsidR="00566943" w:rsidRDefault="00566943" w:rsidP="005669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566943" w:rsidRDefault="009B6E6F" w:rsidP="009B6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425" w:hanging="4425"/>
      </w:pPr>
      <w:r>
        <w:t>Precautions to be t</w:t>
      </w:r>
      <w:r w:rsidR="00566943">
        <w:t>aken in Handling</w:t>
      </w:r>
      <w:r>
        <w:t>:</w:t>
      </w:r>
      <w:r w:rsidR="00566943">
        <w:t xml:space="preserve"> </w:t>
      </w:r>
      <w:r>
        <w:tab/>
      </w:r>
      <w:r>
        <w:tab/>
      </w:r>
      <w:r w:rsidR="00566943">
        <w:t>Practice reasonab</w:t>
      </w:r>
      <w:r>
        <w:t xml:space="preserve">le care and caution in handling </w:t>
      </w:r>
      <w:r w:rsidR="00566943">
        <w:t xml:space="preserve">NYCOA </w:t>
      </w:r>
      <w:r>
        <w:t xml:space="preserve">Nylon.  Avoid breathing dust if </w:t>
      </w:r>
      <w:r w:rsidR="00566943">
        <w:t>generated.</w:t>
      </w:r>
    </w:p>
    <w:p w:rsidR="009B6E6F" w:rsidRDefault="009B6E6F" w:rsidP="009B6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425" w:hanging="4425"/>
      </w:pPr>
    </w:p>
    <w:p w:rsidR="009B6E6F" w:rsidRDefault="009B6E6F" w:rsidP="009B6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425" w:hanging="4425"/>
      </w:pPr>
      <w:r>
        <w:t>Precautions to be taken in Storing:</w:t>
      </w:r>
      <w:r>
        <w:tab/>
      </w:r>
      <w:r>
        <w:tab/>
        <w:t>Suitable materials for containers:  Low density polyethylene (LDPE).  Keep container sealed to avoid contact with moisture.</w:t>
      </w:r>
    </w:p>
    <w:p w:rsidR="00566943" w:rsidRDefault="00566943" w:rsidP="005669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566943" w:rsidRDefault="00566943" w:rsidP="005669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Other Precautions:</w:t>
      </w:r>
    </w:p>
    <w:p w:rsidR="00566943" w:rsidRDefault="00566943" w:rsidP="005669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566943" w:rsidRDefault="00566943" w:rsidP="005669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3600"/>
      </w:pPr>
      <w:r>
        <w:t>Inhalation (Breathing)</w:t>
      </w:r>
      <w:r>
        <w:tab/>
      </w:r>
      <w:r>
        <w:tab/>
      </w:r>
      <w:r>
        <w:tab/>
        <w:t>If exposed to excessive fumes from overheating or combustion, move to fresh air.</w:t>
      </w:r>
    </w:p>
    <w:p w:rsidR="00566943" w:rsidRDefault="00566943" w:rsidP="005669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566943" w:rsidRDefault="00566943" w:rsidP="005669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3600"/>
      </w:pPr>
      <w:r>
        <w:t>Skin Contact:</w:t>
      </w:r>
      <w:r>
        <w:tab/>
      </w:r>
      <w:r>
        <w:tab/>
      </w:r>
      <w:r>
        <w:tab/>
      </w:r>
      <w:r>
        <w:tab/>
        <w:t>If molten polymer comes in contact with exposed skin quench rapidly in cold water.  Obtain medical attention to remove any polymer attached to skin and for burns.</w:t>
      </w:r>
    </w:p>
    <w:p w:rsidR="009B6E6F" w:rsidRDefault="009B6E6F" w:rsidP="005669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3600"/>
      </w:pPr>
    </w:p>
    <w:p w:rsidR="007822FB" w:rsidRDefault="007822FB" w:rsidP="007822FB">
      <w:pPr>
        <w:rPr>
          <w:u w:val="single"/>
        </w:rPr>
      </w:pPr>
      <w:r>
        <w:rPr>
          <w:u w:val="single"/>
        </w:rPr>
        <w:t>DOT CATEGORY</w:t>
      </w:r>
      <w:r w:rsidRPr="009B6E6F">
        <w:t>:</w:t>
      </w:r>
      <w:r w:rsidR="009B6E6F" w:rsidRPr="009B6E6F">
        <w:t xml:space="preserve"> </w:t>
      </w:r>
      <w:r w:rsidR="009B6E6F" w:rsidRPr="009B6E6F">
        <w:tab/>
      </w:r>
      <w:r w:rsidR="009B6E6F" w:rsidRPr="009B6E6F">
        <w:tab/>
      </w:r>
      <w:r w:rsidR="009B6E6F" w:rsidRPr="009B6E6F">
        <w:tab/>
      </w:r>
      <w:r w:rsidR="009B6E6F" w:rsidRPr="009B6E6F">
        <w:tab/>
        <w:t>Not Restricted</w:t>
      </w:r>
    </w:p>
    <w:p w:rsidR="00566943" w:rsidRDefault="00566943" w:rsidP="000709AE"/>
    <w:p w:rsidR="00935753" w:rsidRDefault="00935753">
      <w:pPr>
        <w:tabs>
          <w:tab w:val="right" w:pos="9360"/>
        </w:tabs>
      </w:pPr>
      <w:r>
        <w:t>______________________________________________________________________________</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35753" w:rsidRDefault="00935753">
      <w:pPr>
        <w:pStyle w:val="Heading6"/>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New Roman" w:hAnsi="Times New Roman"/>
          <w:bCs/>
        </w:rPr>
      </w:pPr>
      <w:r w:rsidRPr="000E2EDF">
        <w:rPr>
          <w:rFonts w:ascii="Times New Roman" w:hAnsi="Times New Roman"/>
          <w:bCs/>
          <w:sz w:val="28"/>
        </w:rPr>
        <w:t>S</w:t>
      </w:r>
      <w:r w:rsidR="000E2EDF" w:rsidRPr="000E2EDF">
        <w:rPr>
          <w:rFonts w:ascii="Times New Roman" w:hAnsi="Times New Roman"/>
          <w:bCs/>
          <w:sz w:val="28"/>
        </w:rPr>
        <w:t>ection</w:t>
      </w:r>
      <w:r w:rsidR="000E2EDF">
        <w:rPr>
          <w:rFonts w:ascii="Times New Roman" w:hAnsi="Times New Roman"/>
          <w:bCs/>
        </w:rPr>
        <w:t xml:space="preserve"> </w:t>
      </w:r>
      <w:r>
        <w:rPr>
          <w:rFonts w:ascii="Times New Roman" w:hAnsi="Times New Roman"/>
          <w:bCs/>
        </w:rPr>
        <w:t xml:space="preserve">VIII </w:t>
      </w:r>
      <w:r w:rsidR="0004477C">
        <w:rPr>
          <w:rFonts w:ascii="Times New Roman" w:hAnsi="Times New Roman"/>
          <w:bCs/>
        </w:rPr>
        <w:t>–</w:t>
      </w:r>
      <w:r>
        <w:rPr>
          <w:rFonts w:ascii="Times New Roman" w:hAnsi="Times New Roman"/>
          <w:bCs/>
        </w:rPr>
        <w:t xml:space="preserve"> </w:t>
      </w:r>
      <w:r w:rsidR="0004477C">
        <w:rPr>
          <w:rFonts w:ascii="Times New Roman" w:hAnsi="Times New Roman"/>
          <w:bCs/>
        </w:rPr>
        <w:t>EXPOSURE CONTROLS/PERSONAL PROTECTION</w:t>
      </w:r>
    </w:p>
    <w:p w:rsidR="00935753" w:rsidRDefault="00935753">
      <w:pPr>
        <w:tabs>
          <w:tab w:val="right" w:pos="9360"/>
        </w:tabs>
      </w:pPr>
      <w:r>
        <w:tab/>
        <w:t>______________________________________________________________________________</w:t>
      </w:r>
    </w:p>
    <w:p w:rsidR="001222E8" w:rsidRDefault="001222E8" w:rsidP="00CD5386">
      <w:pPr>
        <w:tabs>
          <w:tab w:val="left" w:pos="-1080"/>
          <w:tab w:val="left" w:pos="-720"/>
          <w:tab w:val="left" w:pos="0"/>
          <w:tab w:val="left" w:pos="720"/>
          <w:tab w:val="left" w:pos="1440"/>
          <w:tab w:val="left" w:pos="2160"/>
          <w:tab w:val="left" w:pos="2880"/>
          <w:tab w:val="left" w:pos="3600"/>
          <w:tab w:val="left" w:pos="4320"/>
          <w:tab w:val="left" w:pos="4680"/>
          <w:tab w:val="left" w:pos="5220"/>
          <w:tab w:val="left" w:pos="6120"/>
          <w:tab w:val="left" w:pos="6840"/>
          <w:tab w:val="left" w:pos="7380"/>
          <w:tab w:val="left" w:pos="7920"/>
          <w:tab w:val="left" w:pos="9360"/>
        </w:tabs>
        <w:rPr>
          <w:sz w:val="20"/>
        </w:rPr>
      </w:pPr>
      <w:r>
        <w:rPr>
          <w:sz w:val="20"/>
        </w:rPr>
        <w:t xml:space="preserve">  </w:t>
      </w:r>
    </w:p>
    <w:p w:rsidR="00E91D03" w:rsidRPr="00E91D03" w:rsidRDefault="00E91D03" w:rsidP="00CD5386">
      <w:pPr>
        <w:tabs>
          <w:tab w:val="left" w:pos="-1080"/>
          <w:tab w:val="left" w:pos="-720"/>
          <w:tab w:val="left" w:pos="0"/>
          <w:tab w:val="left" w:pos="720"/>
          <w:tab w:val="left" w:pos="1440"/>
          <w:tab w:val="left" w:pos="2160"/>
          <w:tab w:val="left" w:pos="2880"/>
          <w:tab w:val="left" w:pos="3600"/>
          <w:tab w:val="left" w:pos="4320"/>
          <w:tab w:val="left" w:pos="4680"/>
          <w:tab w:val="left" w:pos="5220"/>
          <w:tab w:val="left" w:pos="6120"/>
          <w:tab w:val="left" w:pos="6840"/>
          <w:tab w:val="left" w:pos="7380"/>
          <w:tab w:val="left" w:pos="7920"/>
          <w:tab w:val="left" w:pos="9360"/>
        </w:tabs>
        <w:rPr>
          <w:szCs w:val="24"/>
        </w:rPr>
      </w:pPr>
      <w:r w:rsidRPr="00E91D03">
        <w:rPr>
          <w:b/>
          <w:szCs w:val="24"/>
          <w:u w:val="single"/>
        </w:rPr>
        <w:t>Components with occupational exposure limits</w:t>
      </w:r>
      <w:r w:rsidRPr="00E91D03">
        <w:rPr>
          <w:szCs w:val="24"/>
        </w:rPr>
        <w:t>:</w:t>
      </w:r>
    </w:p>
    <w:p w:rsidR="00E91D03" w:rsidRPr="00E91D03" w:rsidRDefault="00E91D03" w:rsidP="00CD5386">
      <w:pPr>
        <w:tabs>
          <w:tab w:val="left" w:pos="-1080"/>
          <w:tab w:val="left" w:pos="-720"/>
          <w:tab w:val="left" w:pos="0"/>
          <w:tab w:val="left" w:pos="720"/>
          <w:tab w:val="left" w:pos="1440"/>
          <w:tab w:val="left" w:pos="2160"/>
          <w:tab w:val="left" w:pos="2880"/>
          <w:tab w:val="left" w:pos="3600"/>
          <w:tab w:val="left" w:pos="4320"/>
          <w:tab w:val="left" w:pos="4680"/>
          <w:tab w:val="left" w:pos="5220"/>
          <w:tab w:val="left" w:pos="6120"/>
          <w:tab w:val="left" w:pos="6840"/>
          <w:tab w:val="left" w:pos="7380"/>
          <w:tab w:val="left" w:pos="7920"/>
          <w:tab w:val="left" w:pos="9360"/>
        </w:tabs>
        <w:rPr>
          <w:szCs w:val="24"/>
        </w:rPr>
      </w:pPr>
    </w:p>
    <w:p w:rsidR="00E91D03" w:rsidRPr="00E91D03" w:rsidRDefault="00E91D03" w:rsidP="00E91D03">
      <w:pPr>
        <w:numPr>
          <w:ilvl w:val="0"/>
          <w:numId w:val="2"/>
        </w:numPr>
        <w:tabs>
          <w:tab w:val="left" w:pos="-1080"/>
          <w:tab w:val="left" w:pos="-720"/>
          <w:tab w:val="left" w:pos="0"/>
          <w:tab w:val="left" w:pos="720"/>
          <w:tab w:val="left" w:pos="1440"/>
          <w:tab w:val="left" w:pos="2160"/>
          <w:tab w:val="left" w:pos="2880"/>
          <w:tab w:val="left" w:pos="3600"/>
          <w:tab w:val="left" w:pos="4320"/>
          <w:tab w:val="left" w:pos="4680"/>
          <w:tab w:val="left" w:pos="5220"/>
          <w:tab w:val="left" w:pos="6120"/>
          <w:tab w:val="left" w:pos="6840"/>
          <w:tab w:val="left" w:pos="7380"/>
          <w:tab w:val="left" w:pos="7920"/>
          <w:tab w:val="left" w:pos="9360"/>
        </w:tabs>
        <w:rPr>
          <w:szCs w:val="24"/>
        </w:rPr>
      </w:pPr>
      <w:r w:rsidRPr="00E91D03">
        <w:rPr>
          <w:szCs w:val="24"/>
        </w:rPr>
        <w:t xml:space="preserve">Caprolactam  - ACGIH TLV  TWA value 5 mg/m3 inhalable </w:t>
      </w:r>
      <w:r w:rsidR="006E1D2E">
        <w:rPr>
          <w:szCs w:val="24"/>
        </w:rPr>
        <w:t>dust</w:t>
      </w:r>
      <w:r w:rsidRPr="00E91D03">
        <w:rPr>
          <w:szCs w:val="24"/>
        </w:rPr>
        <w:t xml:space="preserve"> and vapor</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ind w:left="4320" w:hanging="4320"/>
      </w:pPr>
      <w:r>
        <w:t>Respirat</w:t>
      </w:r>
      <w:r w:rsidR="000B284B">
        <w:t>ory Protection:</w:t>
      </w:r>
      <w:r w:rsidR="000B284B">
        <w:tab/>
      </w:r>
      <w:r w:rsidR="000B284B">
        <w:tab/>
      </w:r>
      <w:r w:rsidR="000B284B">
        <w:tab/>
        <w:t xml:space="preserve">None required with sufficient ventilation.  </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pP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pPr>
      <w:r>
        <w:t xml:space="preserve">Ventilation:                                     </w:t>
      </w:r>
      <w:r>
        <w:tab/>
        <w:t xml:space="preserve">            Good room ventilation.</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pP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ind w:left="4320" w:hanging="4320"/>
      </w:pPr>
      <w:r>
        <w:t>Protective Gloves:</w:t>
      </w:r>
      <w:r>
        <w:tab/>
      </w:r>
      <w:r>
        <w:tab/>
      </w:r>
      <w:r>
        <w:tab/>
      </w:r>
      <w:r>
        <w:tab/>
        <w:t>Recommended if contact with molten material or newly molded polymer parts is required.</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ind w:left="4320" w:hanging="4320"/>
      </w:pPr>
      <w:r>
        <w:tab/>
      </w:r>
      <w:r>
        <w:tab/>
      </w:r>
      <w:r>
        <w:tab/>
      </w:r>
      <w:r>
        <w:tab/>
      </w:r>
      <w:r>
        <w:tab/>
      </w:r>
      <w:r>
        <w:tab/>
      </w:r>
    </w:p>
    <w:p w:rsidR="006E1D2E" w:rsidRDefault="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ind w:left="4320" w:hanging="4320"/>
      </w:pPr>
    </w:p>
    <w:p w:rsidR="000B284B" w:rsidRDefault="000B28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ind w:left="4320" w:hanging="4320"/>
      </w:pP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ind w:left="4320" w:hanging="4320"/>
      </w:pPr>
      <w:r>
        <w:t>Eye Protection:</w:t>
      </w:r>
      <w:r>
        <w:tab/>
      </w:r>
      <w:r>
        <w:tab/>
      </w:r>
      <w:r>
        <w:tab/>
      </w:r>
      <w:r>
        <w:tab/>
        <w:t xml:space="preserve">Safety glasses for good work practices </w:t>
      </w: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pPr>
    </w:p>
    <w:p w:rsidR="00935753" w:rsidRDefault="00935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ind w:left="4320" w:hanging="4320"/>
      </w:pPr>
      <w:r>
        <w:t>Other Protective Equipment:</w:t>
      </w:r>
      <w:r>
        <w:tab/>
      </w:r>
      <w:r>
        <w:tab/>
      </w:r>
      <w:r>
        <w:tab/>
        <w:t>Clean work clothing.</w:t>
      </w:r>
    </w:p>
    <w:p w:rsidR="008B0B29" w:rsidRDefault="008B0B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ind w:left="4320" w:hanging="4320"/>
      </w:pPr>
    </w:p>
    <w:p w:rsidR="00935753" w:rsidRDefault="008B0B29"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ind w:left="4320" w:hanging="4320"/>
      </w:pPr>
      <w:r>
        <w:t>General safety and hygiene measures:</w:t>
      </w:r>
      <w:r>
        <w:tab/>
        <w:t>Avoid inhalation of dust.  Wear a NIOSH-certified (or equivalent) particulate respirator if ventilation is not adequate.</w:t>
      </w: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4" w:lineRule="auto"/>
      </w:pPr>
    </w:p>
    <w:p w:rsidR="00320B9D" w:rsidRDefault="00320B9D" w:rsidP="00320B9D">
      <w:pPr>
        <w:tabs>
          <w:tab w:val="right" w:pos="9360"/>
        </w:tabs>
      </w:pPr>
      <w:r>
        <w:t>_________________________________________________________________________</w:t>
      </w: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bCs/>
        </w:rPr>
      </w:pP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rPr>
      </w:pPr>
      <w:r w:rsidRPr="000E2EDF">
        <w:rPr>
          <w:b/>
          <w:bCs/>
          <w:sz w:val="28"/>
        </w:rPr>
        <w:t>Section</w:t>
      </w:r>
      <w:r>
        <w:rPr>
          <w:b/>
          <w:bCs/>
        </w:rPr>
        <w:t xml:space="preserve"> IX – PHYSICAL AND CHEMICAL PROPERTIES</w:t>
      </w:r>
    </w:p>
    <w:p w:rsidR="00320B9D" w:rsidRDefault="00320B9D" w:rsidP="00320B9D">
      <w:pPr>
        <w:tabs>
          <w:tab w:val="right" w:pos="9360"/>
        </w:tabs>
      </w:pPr>
      <w:r>
        <w:t>______________________________________________________________________________</w:t>
      </w:r>
    </w:p>
    <w:p w:rsidR="00320B9D" w:rsidRDefault="00320B9D" w:rsidP="00320B9D">
      <w:pPr>
        <w:tabs>
          <w:tab w:val="right" w:pos="9360"/>
        </w:tabs>
      </w:pP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320B9D">
        <w:rPr>
          <w:u w:val="single"/>
        </w:rPr>
        <w:t>Form</w:t>
      </w:r>
      <w:r>
        <w:t>:</w:t>
      </w:r>
      <w:r>
        <w:tab/>
      </w:r>
      <w:r>
        <w:tab/>
      </w:r>
      <w:r>
        <w:tab/>
        <w:t>Pellets</w:t>
      </w:r>
      <w:r>
        <w:tab/>
      </w:r>
      <w:r>
        <w:tab/>
      </w:r>
      <w:r>
        <w:tab/>
      </w:r>
      <w:r w:rsidRPr="00320B9D">
        <w:rPr>
          <w:u w:val="single"/>
        </w:rPr>
        <w:t>Odo</w:t>
      </w:r>
      <w:r>
        <w:t>r:</w:t>
      </w:r>
      <w:r>
        <w:tab/>
      </w:r>
      <w:r>
        <w:tab/>
      </w:r>
      <w:r>
        <w:tab/>
      </w:r>
      <w:r>
        <w:tab/>
        <w:t>Odorless</w:t>
      </w: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320B9D">
        <w:rPr>
          <w:u w:val="single"/>
        </w:rPr>
        <w:t>Melting Point</w:t>
      </w:r>
      <w:r>
        <w:t>:</w:t>
      </w:r>
      <w:r>
        <w:tab/>
      </w:r>
      <w:r>
        <w:tab/>
      </w:r>
      <w:r w:rsidR="00222A6E">
        <w:t>391 F (199</w:t>
      </w:r>
      <w:r>
        <w:t xml:space="preserve"> C)</w:t>
      </w:r>
      <w:r>
        <w:tab/>
      </w:r>
      <w:r>
        <w:tab/>
      </w:r>
      <w:r w:rsidRPr="00320B9D">
        <w:rPr>
          <w:u w:val="single"/>
        </w:rPr>
        <w:t>Boiling Point</w:t>
      </w:r>
      <w:r>
        <w:t>:</w:t>
      </w:r>
      <w:r>
        <w:tab/>
      </w:r>
      <w:r>
        <w:tab/>
      </w:r>
      <w:r>
        <w:tab/>
        <w:t>N.A.</w:t>
      </w: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320B9D">
        <w:rPr>
          <w:u w:val="single"/>
        </w:rPr>
        <w:t>Specific Gravity</w:t>
      </w:r>
      <w:r w:rsidR="00222A6E">
        <w:t>:</w:t>
      </w:r>
      <w:r w:rsidR="00222A6E">
        <w:tab/>
        <w:t>1.12</w:t>
      </w:r>
      <w:r w:rsidR="00222A6E">
        <w:tab/>
      </w:r>
      <w:r>
        <w:tab/>
      </w:r>
      <w:r>
        <w:tab/>
      </w:r>
      <w:r w:rsidRPr="00320B9D">
        <w:rPr>
          <w:u w:val="single"/>
        </w:rPr>
        <w:t>Vapor Density</w:t>
      </w:r>
      <w:r>
        <w:t xml:space="preserve"> (Air=1):</w:t>
      </w:r>
      <w:r>
        <w:tab/>
        <w:t>N.A.</w:t>
      </w: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320B9D">
        <w:rPr>
          <w:u w:val="single"/>
        </w:rPr>
        <w:t>Percent Volatiles</w:t>
      </w:r>
      <w:r>
        <w:t>:</w:t>
      </w:r>
      <w:r>
        <w:tab/>
        <w:t>Nil</w:t>
      </w:r>
      <w:r>
        <w:tab/>
      </w:r>
      <w:r>
        <w:tab/>
      </w:r>
      <w:r>
        <w:tab/>
      </w:r>
      <w:r w:rsidRPr="00320B9D">
        <w:rPr>
          <w:u w:val="single"/>
        </w:rPr>
        <w:t>Evaporation Rate</w:t>
      </w:r>
      <w:r>
        <w:t>:</w:t>
      </w:r>
      <w:r>
        <w:tab/>
      </w:r>
      <w:r>
        <w:tab/>
        <w:t>N.A.</w:t>
      </w: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320B9D">
        <w:rPr>
          <w:u w:val="single"/>
        </w:rPr>
        <w:t>Flammability</w:t>
      </w:r>
      <w:r>
        <w:t xml:space="preserve">: </w:t>
      </w:r>
      <w:r>
        <w:tab/>
      </w:r>
      <w:r>
        <w:tab/>
        <w:t>Not self-igniting</w:t>
      </w:r>
      <w:r>
        <w:tab/>
      </w:r>
      <w:r w:rsidRPr="00320B9D">
        <w:rPr>
          <w:u w:val="single"/>
        </w:rPr>
        <w:t>Auto</w:t>
      </w:r>
      <w:r w:rsidR="00222A6E">
        <w:rPr>
          <w:u w:val="single"/>
        </w:rPr>
        <w:t>-</w:t>
      </w:r>
      <w:r w:rsidRPr="00320B9D">
        <w:rPr>
          <w:u w:val="single"/>
        </w:rPr>
        <w:t>ignition temp</w:t>
      </w:r>
      <w:r>
        <w:t>:</w:t>
      </w:r>
      <w:r>
        <w:tab/>
      </w:r>
      <w:r>
        <w:tab/>
        <w:t>&gt;</w:t>
      </w:r>
      <w:r w:rsidR="00BE5065">
        <w:t>750 F (400</w:t>
      </w:r>
      <w:r>
        <w:t xml:space="preserve"> C</w:t>
      </w:r>
      <w:r w:rsidR="00BE5065">
        <w:t>)</w:t>
      </w: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320B9D" w:rsidRDefault="00320B9D" w:rsidP="00320B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320B9D">
        <w:rPr>
          <w:u w:val="single"/>
        </w:rPr>
        <w:t>Lower explosive limit</w:t>
      </w:r>
      <w:r>
        <w:t>: Not determined</w:t>
      </w:r>
      <w:r>
        <w:tab/>
      </w:r>
      <w:r w:rsidRPr="00320B9D">
        <w:rPr>
          <w:u w:val="single"/>
        </w:rPr>
        <w:t>Upper explosive limit</w:t>
      </w:r>
      <w:r>
        <w:t>:</w:t>
      </w:r>
      <w:r>
        <w:tab/>
        <w:t>Not determined</w:t>
      </w:r>
    </w:p>
    <w:p w:rsidR="00320B9D" w:rsidRDefault="00320B9D" w:rsidP="00320B9D">
      <w:pPr>
        <w:tabs>
          <w:tab w:val="right" w:pos="9360"/>
        </w:tabs>
      </w:pPr>
    </w:p>
    <w:p w:rsidR="00320B9D" w:rsidRDefault="00FC37E3" w:rsidP="006E1D2E">
      <w:pPr>
        <w:tabs>
          <w:tab w:val="right" w:pos="9360"/>
        </w:tabs>
      </w:pPr>
      <w:r w:rsidRPr="00FC37E3">
        <w:rPr>
          <w:u w:val="single"/>
        </w:rPr>
        <w:t>Flashpoint</w:t>
      </w:r>
      <w:r w:rsidR="006E1D2E">
        <w:t>:  Not Applicable</w:t>
      </w:r>
    </w:p>
    <w:p w:rsidR="006E1D2E" w:rsidRDefault="006E1D2E" w:rsidP="006E1D2E">
      <w:pPr>
        <w:tabs>
          <w:tab w:val="right" w:pos="9360"/>
        </w:tabs>
      </w:pPr>
    </w:p>
    <w:p w:rsidR="006E1D2E" w:rsidRDefault="006E1D2E" w:rsidP="006E1D2E">
      <w:pPr>
        <w:tabs>
          <w:tab w:val="right" w:pos="9360"/>
        </w:tabs>
      </w:pPr>
      <w:r>
        <w:t>_____________________________________________________________________________</w:t>
      </w:r>
    </w:p>
    <w:p w:rsidR="006E1D2E" w:rsidRDefault="006E1D2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6E1D2E" w:rsidRDefault="006E1D2E" w:rsidP="006E1D2E">
      <w:pPr>
        <w:pStyle w:val="Heading6"/>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New Roman" w:hAnsi="Times New Roman"/>
          <w:bCs/>
        </w:rPr>
      </w:pPr>
      <w:r w:rsidRPr="000E2EDF">
        <w:rPr>
          <w:rFonts w:ascii="Times New Roman" w:hAnsi="Times New Roman"/>
          <w:bCs/>
          <w:sz w:val="28"/>
        </w:rPr>
        <w:t>Section</w:t>
      </w:r>
      <w:r>
        <w:rPr>
          <w:rFonts w:ascii="Times New Roman" w:hAnsi="Times New Roman"/>
          <w:bCs/>
        </w:rPr>
        <w:t xml:space="preserve"> X - </w:t>
      </w:r>
      <w:r w:rsidRPr="00BC30CC">
        <w:rPr>
          <w:rFonts w:ascii="Times New Roman" w:hAnsi="Times New Roman"/>
          <w:bCs/>
        </w:rPr>
        <w:t>STABILITY AND REACTIVITY</w:t>
      </w:r>
    </w:p>
    <w:p w:rsidR="006E1D2E" w:rsidRDefault="006E1D2E" w:rsidP="006E1D2E">
      <w:pPr>
        <w:tabs>
          <w:tab w:val="right" w:pos="9360"/>
        </w:tabs>
      </w:pPr>
      <w:r>
        <w:tab/>
        <w:t>______________________________________________________________________________</w:t>
      </w:r>
    </w:p>
    <w:p w:rsidR="006E1D2E" w:rsidRDefault="006E1D2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6E1D2E" w:rsidRDefault="006E1D2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Stability:</w:t>
      </w:r>
      <w:r>
        <w:tab/>
      </w:r>
      <w:r>
        <w:tab/>
      </w:r>
      <w:r>
        <w:tab/>
      </w:r>
      <w:r>
        <w:tab/>
      </w:r>
      <w:r>
        <w:tab/>
        <w:t>Stable.</w:t>
      </w:r>
    </w:p>
    <w:p w:rsidR="006E1D2E" w:rsidRDefault="006E1D2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6E1D2E" w:rsidRDefault="006E1D2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Incompatibility (Materials to Avoid):</w:t>
      </w:r>
      <w:r>
        <w:tab/>
      </w:r>
      <w:r>
        <w:tab/>
        <w:t>None known.</w:t>
      </w:r>
    </w:p>
    <w:p w:rsidR="006E1D2E" w:rsidRDefault="006E1D2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6E1D2E" w:rsidRDefault="006E1D2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Hazardous Polymerization:</w:t>
      </w:r>
      <w:r>
        <w:tab/>
      </w:r>
      <w:r>
        <w:tab/>
      </w:r>
      <w:r>
        <w:tab/>
        <w:t>Will not occur.</w:t>
      </w:r>
    </w:p>
    <w:p w:rsidR="006E1D2E" w:rsidRDefault="006E1D2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6E1D2E" w:rsidRDefault="006E1D2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4320"/>
      </w:pPr>
      <w:r>
        <w:t>Conditions to Avoid:</w:t>
      </w:r>
      <w:r>
        <w:tab/>
      </w:r>
      <w:r>
        <w:tab/>
      </w:r>
      <w:r>
        <w:tab/>
      </w:r>
      <w:r>
        <w:tab/>
        <w:t>Temperatures over 555</w:t>
      </w:r>
      <w:r>
        <w:rPr>
          <w:rFonts w:ascii="Symbol" w:hAnsi="Symbol"/>
        </w:rPr>
        <w:t></w:t>
      </w:r>
      <w:r>
        <w:t xml:space="preserve"> F (290 C) may result in thermal decomposition.</w:t>
      </w:r>
    </w:p>
    <w:p w:rsidR="006E1D2E" w:rsidRDefault="006E1D2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4320"/>
      </w:pPr>
    </w:p>
    <w:p w:rsidR="006E1D2E" w:rsidRDefault="006E1D2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4320"/>
      </w:pPr>
      <w:r>
        <w:t xml:space="preserve">Hazardous decomposition products: </w:t>
      </w:r>
      <w:r>
        <w:tab/>
      </w:r>
      <w:r>
        <w:tab/>
        <w:t>These include Ammonium hydroxide, carbon monoxide, carbon dioxide, caprolactam, hydrogen cyanide, nitriles.</w:t>
      </w:r>
    </w:p>
    <w:p w:rsidR="00B52C0E" w:rsidRDefault="00B52C0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4320"/>
      </w:pPr>
    </w:p>
    <w:p w:rsidR="00B52C0E" w:rsidRDefault="00B52C0E" w:rsidP="006E1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4320"/>
      </w:pPr>
    </w:p>
    <w:p w:rsidR="00B52C0E" w:rsidRDefault="00B52C0E" w:rsidP="00B52C0E">
      <w:pPr>
        <w:tabs>
          <w:tab w:val="right" w:pos="9360"/>
        </w:tabs>
      </w:pPr>
    </w:p>
    <w:p w:rsidR="00683767" w:rsidRDefault="00683767" w:rsidP="00B52C0E">
      <w:pPr>
        <w:tabs>
          <w:tab w:val="right" w:pos="9360"/>
        </w:tabs>
      </w:pPr>
    </w:p>
    <w:p w:rsidR="00B52C0E" w:rsidRDefault="00B52C0E" w:rsidP="00B52C0E">
      <w:pPr>
        <w:tabs>
          <w:tab w:val="right" w:pos="9360"/>
        </w:tabs>
      </w:pPr>
      <w:r>
        <w:t>__________________________________________________________________________</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rPr>
      </w:pPr>
      <w:r>
        <w:rPr>
          <w:b/>
          <w:bCs/>
        </w:rPr>
        <w:t>SECTION XI – TOXICOLOGICAL INFORMATION</w:t>
      </w:r>
    </w:p>
    <w:p w:rsidR="00B52C0E" w:rsidRDefault="00B52C0E" w:rsidP="00B52C0E">
      <w:pPr>
        <w:tabs>
          <w:tab w:val="right" w:pos="9360"/>
        </w:tabs>
      </w:pPr>
      <w:r>
        <w:tab/>
        <w:t>______________________________________________________________________________</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Pr="00890CF0"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rPr>
      </w:pPr>
      <w:r w:rsidRPr="00890CF0">
        <w:rPr>
          <w:b/>
        </w:rPr>
        <w:t>Primary routes of exposure</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Ingestion and inhalation are routes of exposure for solids and liquids.</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Inhalation and eye contact are routes of exposure for gases.</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Skin contact may be a route of exposure for liquefied gases.</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Pr="0099304F"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rPr>
      </w:pPr>
      <w:r w:rsidRPr="0099304F">
        <w:rPr>
          <w:b/>
        </w:rPr>
        <w:t>Acute Toxicity/Effects</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Acute toxicity – The resin in pellet form presents a low hazard.  Contact with molten material may cause thermal burns.</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Oral – Acute Toxicity Estimate (ATE) &gt; 1500 mg/kg</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Inhalation - The properties of the product preclude inhalation.</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Dermal – Acute toxicity estimate (ATE) &gt;5000 mg/kg</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Irritation/corrosion – Contact with the skin, respiratory tract or eyes may cause irritation</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Sensitization – Based on our experience and the information available, no adverse health effects are expected provided the material is handled as recommended with the appropriate precautions for designated uses.</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Pr="006157C4"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i/>
        </w:rPr>
      </w:pPr>
      <w:r w:rsidRPr="006157C4">
        <w:rPr>
          <w:i/>
        </w:rPr>
        <w:t>Information on caprolactam – May cause slight irritation to the skin and eyes</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rPr>
      </w:pPr>
      <w:r w:rsidRPr="0099304F">
        <w:rPr>
          <w:b/>
        </w:rPr>
        <w:t>Chronic Toxicity/Effects</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rPr>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rsidRPr="00E404DB">
        <w:t>Genetic toxicity</w:t>
      </w:r>
      <w:r>
        <w:t xml:space="preserve"> - Based on our experience and the information available, no adverse health effects are expected provided the material is handled as recommended with the appropriate precautions for designated uses.</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Carcinogenicity - Based on our experience and the information available, no adverse health effects are expected provided the material is handled as recommended with the appropriate precautions for designated uses.</w:t>
      </w:r>
    </w:p>
    <w:p w:rsidR="00A1208C" w:rsidRDefault="00A1208C"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A1208C" w:rsidRDefault="00A1208C"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Other information - Based on our experience and the information available, no adverse health effects</w:t>
      </w:r>
      <w:r w:rsidRPr="00B52C0E">
        <w:t xml:space="preserve"> </w:t>
      </w:r>
      <w:r>
        <w:t>are expected provided the material is handled as recommended with the appropriate precautions for designated uses.</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4320" w:hanging="4320"/>
      </w:pPr>
    </w:p>
    <w:p w:rsidR="00B52C0E" w:rsidRPr="00E404DB"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rPr>
      </w:pPr>
      <w:r w:rsidRPr="00E404DB">
        <w:rPr>
          <w:b/>
        </w:rPr>
        <w:t>Symptoms of Exposure</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r>
        <w:t>No significant reaction by the human body to the product is known.</w:t>
      </w:r>
    </w:p>
    <w:p w:rsidR="00B52C0E" w:rsidRDefault="00B52C0E" w:rsidP="00B52C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pPr>
    </w:p>
    <w:p w:rsidR="00B52C0E" w:rsidRPr="00A1208C" w:rsidRDefault="00B52C0E" w:rsidP="00A120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i/>
        </w:rPr>
      </w:pPr>
      <w:r w:rsidRPr="0057632D">
        <w:rPr>
          <w:i/>
        </w:rPr>
        <w:t>Information on caprolactam – After repeated exposure the most significant effect is local irritation.  Animal studies have shown damage to the upper respiratory tract after repeated inhalation.</w:t>
      </w:r>
    </w:p>
    <w:p w:rsidR="0007063C" w:rsidRDefault="0007063C" w:rsidP="0007063C">
      <w:pPr>
        <w:tabs>
          <w:tab w:val="right" w:pos="9360"/>
        </w:tabs>
      </w:pPr>
      <w:r>
        <w:t>_____________________________________________________________________________</w:t>
      </w:r>
    </w:p>
    <w:p w:rsidR="0007063C" w:rsidRDefault="0007063C" w:rsidP="000706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bCs/>
          <w:sz w:val="28"/>
        </w:rPr>
      </w:pPr>
    </w:p>
    <w:p w:rsidR="0007063C" w:rsidRDefault="0007063C" w:rsidP="000706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rPr>
      </w:pPr>
      <w:r w:rsidRPr="000E2EDF">
        <w:rPr>
          <w:b/>
          <w:bCs/>
          <w:sz w:val="28"/>
        </w:rPr>
        <w:t xml:space="preserve">Section </w:t>
      </w:r>
      <w:r w:rsidRPr="00BC30CC">
        <w:rPr>
          <w:b/>
          <w:bCs/>
        </w:rPr>
        <w:t>XII</w:t>
      </w:r>
      <w:r>
        <w:rPr>
          <w:b/>
          <w:bCs/>
        </w:rPr>
        <w:t xml:space="preserve"> – ECOLOGICAL INFORMATION</w:t>
      </w:r>
    </w:p>
    <w:p w:rsidR="0007063C" w:rsidRDefault="0007063C" w:rsidP="0007063C">
      <w:pPr>
        <w:tabs>
          <w:tab w:val="right" w:pos="9360"/>
        </w:tabs>
      </w:pPr>
      <w:r>
        <w:tab/>
        <w:t>______________________________________________________________________________</w:t>
      </w:r>
    </w:p>
    <w:p w:rsidR="0007063C" w:rsidRPr="006F25BF" w:rsidRDefault="0007063C" w:rsidP="0007063C">
      <w:pPr>
        <w:tabs>
          <w:tab w:val="right" w:pos="9360"/>
        </w:tabs>
      </w:pPr>
    </w:p>
    <w:p w:rsidR="0007063C" w:rsidRDefault="0007063C" w:rsidP="0007063C">
      <w:pPr>
        <w:ind w:left="2160" w:hanging="2160"/>
        <w:rPr>
          <w:szCs w:val="24"/>
        </w:rPr>
      </w:pPr>
      <w:r>
        <w:rPr>
          <w:szCs w:val="24"/>
        </w:rPr>
        <w:t>Ecotoxicity:  This product is not expected to produce significant ecotoxicity upon exposure to aquatic organisms or systems.</w:t>
      </w:r>
    </w:p>
    <w:p w:rsidR="0007063C" w:rsidRDefault="0007063C" w:rsidP="0007063C">
      <w:pPr>
        <w:ind w:left="2160" w:hanging="2160"/>
        <w:rPr>
          <w:szCs w:val="24"/>
        </w:rPr>
      </w:pPr>
    </w:p>
    <w:p w:rsidR="0007063C" w:rsidRDefault="0007063C" w:rsidP="0007063C">
      <w:pPr>
        <w:ind w:left="2160" w:hanging="2160"/>
        <w:rPr>
          <w:szCs w:val="24"/>
        </w:rPr>
      </w:pPr>
      <w:r>
        <w:rPr>
          <w:szCs w:val="24"/>
        </w:rPr>
        <w:t>Persistence and Degradability:  In pellet form, product is inert and not biodegradable</w:t>
      </w:r>
    </w:p>
    <w:p w:rsidR="0007063C" w:rsidRDefault="0007063C" w:rsidP="0007063C">
      <w:pPr>
        <w:ind w:left="2160" w:hanging="2160"/>
        <w:rPr>
          <w:szCs w:val="24"/>
        </w:rPr>
      </w:pPr>
    </w:p>
    <w:p w:rsidR="0007063C" w:rsidRDefault="0007063C" w:rsidP="0007063C">
      <w:pPr>
        <w:ind w:left="2160" w:hanging="2160"/>
        <w:rPr>
          <w:szCs w:val="24"/>
        </w:rPr>
      </w:pPr>
      <w:r>
        <w:rPr>
          <w:szCs w:val="24"/>
        </w:rPr>
        <w:t>Bioacumulative Potential:  Unlikely</w:t>
      </w:r>
    </w:p>
    <w:p w:rsidR="0007063C" w:rsidRDefault="0007063C" w:rsidP="0007063C">
      <w:pPr>
        <w:ind w:left="2160" w:hanging="2160"/>
        <w:rPr>
          <w:szCs w:val="24"/>
        </w:rPr>
      </w:pPr>
    </w:p>
    <w:p w:rsidR="0007063C" w:rsidRDefault="0007063C" w:rsidP="0007063C">
      <w:pPr>
        <w:ind w:left="2160" w:hanging="2160"/>
        <w:rPr>
          <w:szCs w:val="24"/>
        </w:rPr>
      </w:pPr>
      <w:r>
        <w:rPr>
          <w:szCs w:val="24"/>
        </w:rPr>
        <w:t>Mobility in Soil:  NA</w:t>
      </w:r>
    </w:p>
    <w:p w:rsidR="0007063C" w:rsidRDefault="0007063C" w:rsidP="0007063C">
      <w:pPr>
        <w:ind w:left="2160" w:hanging="2160"/>
        <w:rPr>
          <w:szCs w:val="24"/>
        </w:rPr>
      </w:pPr>
    </w:p>
    <w:p w:rsidR="0007063C" w:rsidRDefault="0007063C" w:rsidP="0007063C">
      <w:pPr>
        <w:ind w:left="2160" w:hanging="2160"/>
        <w:rPr>
          <w:szCs w:val="24"/>
        </w:rPr>
      </w:pPr>
      <w:r>
        <w:rPr>
          <w:szCs w:val="24"/>
        </w:rPr>
        <w:t>Results of PBT and vPvB assessment:  NA</w:t>
      </w:r>
    </w:p>
    <w:p w:rsidR="0007063C" w:rsidRDefault="0007063C" w:rsidP="0007063C">
      <w:pPr>
        <w:tabs>
          <w:tab w:val="right" w:pos="9360"/>
        </w:tabs>
      </w:pPr>
      <w:r>
        <w:t>______________________________________________________________________________</w:t>
      </w:r>
    </w:p>
    <w:p w:rsidR="0007063C" w:rsidRDefault="0007063C" w:rsidP="000706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sz w:val="28"/>
        </w:rPr>
      </w:pPr>
    </w:p>
    <w:p w:rsidR="0007063C" w:rsidRDefault="0007063C" w:rsidP="000706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rPr>
      </w:pPr>
      <w:r w:rsidRPr="000E2EDF">
        <w:rPr>
          <w:b/>
          <w:bCs/>
          <w:sz w:val="28"/>
        </w:rPr>
        <w:t xml:space="preserve">Section </w:t>
      </w:r>
      <w:r w:rsidRPr="00BC30CC">
        <w:rPr>
          <w:b/>
          <w:bCs/>
        </w:rPr>
        <w:t>X</w:t>
      </w:r>
      <w:r>
        <w:rPr>
          <w:b/>
          <w:bCs/>
        </w:rPr>
        <w:t>I</w:t>
      </w:r>
      <w:r w:rsidRPr="00BC30CC">
        <w:rPr>
          <w:b/>
          <w:bCs/>
        </w:rPr>
        <w:t>II</w:t>
      </w:r>
      <w:r>
        <w:rPr>
          <w:b/>
          <w:bCs/>
        </w:rPr>
        <w:t xml:space="preserve"> – DISPOSAL CONSIDERATIONS</w:t>
      </w:r>
    </w:p>
    <w:p w:rsidR="0007063C" w:rsidRPr="006F25BF" w:rsidRDefault="0007063C" w:rsidP="0007063C">
      <w:pPr>
        <w:tabs>
          <w:tab w:val="right" w:pos="9360"/>
        </w:tabs>
      </w:pPr>
      <w:r>
        <w:tab/>
        <w:t>______________________________________________________________________________</w:t>
      </w:r>
    </w:p>
    <w:p w:rsidR="0007063C" w:rsidRDefault="0007063C" w:rsidP="0007063C">
      <w:pPr>
        <w:ind w:left="2160" w:hanging="2160"/>
        <w:rPr>
          <w:szCs w:val="24"/>
        </w:rPr>
      </w:pPr>
    </w:p>
    <w:p w:rsidR="0007063C" w:rsidRDefault="0007063C" w:rsidP="0007063C">
      <w:pPr>
        <w:ind w:left="2160" w:hanging="2160"/>
        <w:rPr>
          <w:szCs w:val="24"/>
        </w:rPr>
      </w:pPr>
      <w:r>
        <w:rPr>
          <w:szCs w:val="24"/>
        </w:rPr>
        <w:t>Dispose in accordance with all applicable regulations</w:t>
      </w:r>
    </w:p>
    <w:p w:rsidR="0007063C" w:rsidRDefault="0007063C" w:rsidP="0007063C">
      <w:pPr>
        <w:tabs>
          <w:tab w:val="right" w:pos="9360"/>
        </w:tabs>
      </w:pPr>
      <w:r>
        <w:t>______________________________________________________________________________</w:t>
      </w:r>
    </w:p>
    <w:p w:rsidR="0007063C" w:rsidRDefault="0007063C" w:rsidP="000706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sz w:val="28"/>
        </w:rPr>
      </w:pPr>
    </w:p>
    <w:p w:rsidR="0007063C" w:rsidRDefault="0007063C" w:rsidP="000706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rPr>
      </w:pPr>
      <w:r w:rsidRPr="000E2EDF">
        <w:rPr>
          <w:b/>
          <w:bCs/>
          <w:sz w:val="28"/>
        </w:rPr>
        <w:t xml:space="preserve">Section </w:t>
      </w:r>
      <w:r w:rsidRPr="00BC30CC">
        <w:rPr>
          <w:b/>
          <w:bCs/>
        </w:rPr>
        <w:t>XI</w:t>
      </w:r>
      <w:r>
        <w:rPr>
          <w:b/>
          <w:bCs/>
        </w:rPr>
        <w:t>V – TRANSPORT INFORMATION</w:t>
      </w:r>
    </w:p>
    <w:p w:rsidR="0007063C" w:rsidRDefault="0007063C" w:rsidP="0007063C">
      <w:pPr>
        <w:tabs>
          <w:tab w:val="right" w:pos="9360"/>
        </w:tabs>
      </w:pPr>
      <w:r>
        <w:tab/>
        <w:t>______________________________________________________________________________</w:t>
      </w:r>
    </w:p>
    <w:p w:rsidR="0007063C" w:rsidRDefault="0007063C" w:rsidP="0007063C">
      <w:pPr>
        <w:rPr>
          <w:szCs w:val="24"/>
        </w:rPr>
      </w:pPr>
    </w:p>
    <w:p w:rsidR="0007063C" w:rsidRDefault="0007063C" w:rsidP="0007063C">
      <w:pPr>
        <w:rPr>
          <w:szCs w:val="24"/>
        </w:rPr>
      </w:pPr>
      <w:r>
        <w:rPr>
          <w:szCs w:val="24"/>
        </w:rPr>
        <w:t>ADR:  Not regulated as dangerous goods</w:t>
      </w:r>
    </w:p>
    <w:p w:rsidR="0007063C" w:rsidRDefault="0007063C" w:rsidP="0007063C">
      <w:pPr>
        <w:ind w:left="2160" w:hanging="2160"/>
        <w:rPr>
          <w:szCs w:val="24"/>
        </w:rPr>
      </w:pPr>
    </w:p>
    <w:p w:rsidR="0007063C" w:rsidRDefault="0007063C" w:rsidP="0007063C">
      <w:pPr>
        <w:ind w:left="2160" w:hanging="2160"/>
        <w:rPr>
          <w:szCs w:val="24"/>
        </w:rPr>
      </w:pPr>
      <w:r>
        <w:rPr>
          <w:szCs w:val="24"/>
        </w:rPr>
        <w:t>IMDG:  Not regulated as dangerous goods</w:t>
      </w:r>
    </w:p>
    <w:p w:rsidR="0007063C" w:rsidRDefault="0007063C" w:rsidP="0007063C">
      <w:pPr>
        <w:ind w:left="2160" w:hanging="2160"/>
        <w:rPr>
          <w:szCs w:val="24"/>
        </w:rPr>
      </w:pPr>
    </w:p>
    <w:p w:rsidR="0007063C" w:rsidRDefault="0007063C" w:rsidP="0007063C">
      <w:pPr>
        <w:ind w:left="2160" w:hanging="2160"/>
        <w:rPr>
          <w:szCs w:val="24"/>
        </w:rPr>
      </w:pPr>
      <w:r>
        <w:rPr>
          <w:szCs w:val="24"/>
        </w:rPr>
        <w:t>IATA:  Not regulated as dangerous goods</w:t>
      </w:r>
    </w:p>
    <w:p w:rsidR="0007063C" w:rsidRDefault="0007063C" w:rsidP="0007063C">
      <w:pPr>
        <w:tabs>
          <w:tab w:val="right" w:pos="9360"/>
        </w:tabs>
      </w:pPr>
    </w:p>
    <w:p w:rsidR="0007063C" w:rsidRDefault="0007063C" w:rsidP="0007063C">
      <w:pPr>
        <w:tabs>
          <w:tab w:val="right" w:pos="9360"/>
        </w:tabs>
      </w:pPr>
    </w:p>
    <w:p w:rsidR="0007063C" w:rsidRDefault="0007063C" w:rsidP="0007063C">
      <w:pPr>
        <w:tabs>
          <w:tab w:val="right" w:pos="9360"/>
        </w:tabs>
      </w:pPr>
    </w:p>
    <w:p w:rsidR="0007063C" w:rsidRDefault="0007063C" w:rsidP="0007063C">
      <w:pPr>
        <w:tabs>
          <w:tab w:val="right" w:pos="9360"/>
        </w:tabs>
      </w:pPr>
    </w:p>
    <w:p w:rsidR="0007063C" w:rsidRDefault="0007063C" w:rsidP="0007063C">
      <w:pPr>
        <w:tabs>
          <w:tab w:val="right" w:pos="9360"/>
        </w:tabs>
      </w:pPr>
    </w:p>
    <w:p w:rsidR="0007063C" w:rsidRDefault="0007063C" w:rsidP="0007063C">
      <w:pPr>
        <w:tabs>
          <w:tab w:val="right" w:pos="9360"/>
        </w:tabs>
      </w:pPr>
      <w:r>
        <w:t>______________________________________________________________________________</w:t>
      </w:r>
    </w:p>
    <w:p w:rsidR="0007063C" w:rsidRDefault="0007063C" w:rsidP="000706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sz w:val="28"/>
        </w:rPr>
      </w:pPr>
    </w:p>
    <w:p w:rsidR="0007063C" w:rsidRDefault="0007063C" w:rsidP="000706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rPr>
      </w:pPr>
      <w:r w:rsidRPr="000E2EDF">
        <w:rPr>
          <w:b/>
          <w:bCs/>
          <w:sz w:val="28"/>
        </w:rPr>
        <w:t xml:space="preserve">Section </w:t>
      </w:r>
      <w:r w:rsidRPr="00BC30CC">
        <w:rPr>
          <w:b/>
          <w:bCs/>
        </w:rPr>
        <w:t>X</w:t>
      </w:r>
      <w:r>
        <w:rPr>
          <w:b/>
          <w:bCs/>
        </w:rPr>
        <w:t>V – REGULATORY INFORMATION</w:t>
      </w:r>
    </w:p>
    <w:p w:rsidR="0007063C" w:rsidRDefault="0007063C" w:rsidP="0007063C">
      <w:pPr>
        <w:tabs>
          <w:tab w:val="right" w:pos="9360"/>
        </w:tabs>
      </w:pPr>
      <w:r>
        <w:tab/>
        <w:t>______________________________________________________________________________</w:t>
      </w:r>
    </w:p>
    <w:p w:rsidR="0007063C" w:rsidRDefault="0007063C" w:rsidP="0007063C">
      <w:pPr>
        <w:rPr>
          <w:rFonts w:ascii="Arial" w:hAnsi="Arial"/>
        </w:rPr>
      </w:pPr>
    </w:p>
    <w:p w:rsidR="0007063C" w:rsidRPr="005434E8" w:rsidRDefault="0007063C" w:rsidP="0007063C">
      <w:pPr>
        <w:rPr>
          <w:rFonts w:ascii="Arial" w:hAnsi="Arial"/>
          <w:b/>
          <w:u w:val="single"/>
        </w:rPr>
      </w:pPr>
      <w:r w:rsidRPr="005434E8">
        <w:rPr>
          <w:rFonts w:ascii="Arial" w:hAnsi="Arial"/>
          <w:b/>
          <w:u w:val="single"/>
        </w:rPr>
        <w:t>Federal Regulations</w:t>
      </w:r>
    </w:p>
    <w:p w:rsidR="0007063C" w:rsidRPr="005434E8" w:rsidRDefault="0007063C" w:rsidP="0007063C">
      <w:pPr>
        <w:rPr>
          <w:b/>
          <w:szCs w:val="24"/>
        </w:rPr>
      </w:pPr>
      <w:r w:rsidRPr="005434E8">
        <w:rPr>
          <w:b/>
          <w:szCs w:val="24"/>
        </w:rPr>
        <w:t>Registration status:</w:t>
      </w:r>
    </w:p>
    <w:p w:rsidR="0007063C" w:rsidRDefault="0007063C" w:rsidP="0007063C">
      <w:pPr>
        <w:rPr>
          <w:szCs w:val="24"/>
        </w:rPr>
      </w:pPr>
      <w:r>
        <w:rPr>
          <w:szCs w:val="24"/>
        </w:rPr>
        <w:t>Chemical</w:t>
      </w:r>
      <w:r>
        <w:rPr>
          <w:szCs w:val="24"/>
        </w:rPr>
        <w:tab/>
      </w:r>
      <w:r>
        <w:rPr>
          <w:szCs w:val="24"/>
        </w:rPr>
        <w:tab/>
        <w:t>TSCA, US</w:t>
      </w:r>
      <w:r>
        <w:rPr>
          <w:szCs w:val="24"/>
        </w:rPr>
        <w:tab/>
      </w:r>
      <w:r>
        <w:rPr>
          <w:szCs w:val="24"/>
        </w:rPr>
        <w:tab/>
        <w:t>released/listed</w:t>
      </w:r>
    </w:p>
    <w:p w:rsidR="0007063C" w:rsidRDefault="0007063C" w:rsidP="0007063C">
      <w:pPr>
        <w:rPr>
          <w:szCs w:val="24"/>
        </w:rPr>
      </w:pPr>
    </w:p>
    <w:p w:rsidR="0007063C" w:rsidRDefault="0007063C" w:rsidP="0007063C">
      <w:pPr>
        <w:rPr>
          <w:szCs w:val="24"/>
        </w:rPr>
      </w:pPr>
      <w:r w:rsidRPr="005434E8">
        <w:rPr>
          <w:b/>
          <w:szCs w:val="24"/>
        </w:rPr>
        <w:t>EPCRA 311/312:</w:t>
      </w:r>
      <w:r>
        <w:rPr>
          <w:szCs w:val="24"/>
        </w:rPr>
        <w:tab/>
      </w:r>
      <w:r>
        <w:rPr>
          <w:szCs w:val="24"/>
        </w:rPr>
        <w:tab/>
        <w:t>Not hazardous</w:t>
      </w:r>
    </w:p>
    <w:p w:rsidR="0007063C" w:rsidRDefault="0007063C" w:rsidP="0007063C">
      <w:pPr>
        <w:rPr>
          <w:szCs w:val="24"/>
        </w:rPr>
      </w:pPr>
    </w:p>
    <w:p w:rsidR="0007063C" w:rsidRDefault="0007063C" w:rsidP="0007063C"/>
    <w:p w:rsidR="0007063C" w:rsidRPr="00373B37" w:rsidRDefault="0007063C" w:rsidP="0007063C">
      <w:pPr>
        <w:rPr>
          <w:rFonts w:ascii="Arial" w:hAnsi="Arial" w:cs="Arial"/>
          <w:b/>
          <w:u w:val="single"/>
        </w:rPr>
      </w:pPr>
      <w:r w:rsidRPr="00373B37">
        <w:rPr>
          <w:rFonts w:ascii="Arial" w:hAnsi="Arial" w:cs="Arial"/>
          <w:b/>
          <w:u w:val="single"/>
        </w:rPr>
        <w:t>State Regulations:</w:t>
      </w:r>
    </w:p>
    <w:p w:rsidR="0007063C" w:rsidRDefault="0007063C" w:rsidP="0007063C"/>
    <w:p w:rsidR="0007063C" w:rsidRPr="00373B37" w:rsidRDefault="0007063C" w:rsidP="0007063C">
      <w:pPr>
        <w:rPr>
          <w:b/>
          <w:u w:val="single"/>
        </w:rPr>
      </w:pPr>
      <w:r w:rsidRPr="00373B37">
        <w:rPr>
          <w:b/>
          <w:u w:val="single"/>
        </w:rPr>
        <w:t>State RTK</w:t>
      </w:r>
      <w:r w:rsidRPr="00373B37">
        <w:rPr>
          <w:b/>
          <w:u w:val="single"/>
        </w:rPr>
        <w:tab/>
      </w:r>
      <w:r w:rsidRPr="00373B37">
        <w:rPr>
          <w:b/>
          <w:u w:val="single"/>
        </w:rPr>
        <w:tab/>
        <w:t>CAS Number</w:t>
      </w:r>
      <w:r w:rsidRPr="00373B37">
        <w:rPr>
          <w:b/>
          <w:u w:val="single"/>
        </w:rPr>
        <w:tab/>
      </w:r>
      <w:r w:rsidRPr="00373B37">
        <w:rPr>
          <w:b/>
          <w:u w:val="single"/>
        </w:rPr>
        <w:tab/>
      </w:r>
      <w:r w:rsidRPr="00373B37">
        <w:rPr>
          <w:b/>
          <w:u w:val="single"/>
        </w:rPr>
        <w:tab/>
        <w:t>Chemical name</w:t>
      </w:r>
    </w:p>
    <w:p w:rsidR="0007063C" w:rsidRDefault="0007063C" w:rsidP="0007063C">
      <w:r>
        <w:t>MA, NJ, PA</w:t>
      </w:r>
      <w:r>
        <w:tab/>
      </w:r>
      <w:r>
        <w:tab/>
        <w:t>105-60-2</w:t>
      </w:r>
      <w:r>
        <w:tab/>
      </w:r>
      <w:r>
        <w:tab/>
      </w:r>
      <w:r>
        <w:tab/>
        <w:t>Caprolactam</w:t>
      </w:r>
    </w:p>
    <w:p w:rsidR="0007063C" w:rsidRDefault="0007063C" w:rsidP="0007063C"/>
    <w:p w:rsidR="0007063C" w:rsidRDefault="0007063C" w:rsidP="0007063C">
      <w:r>
        <w:t>NFPA Hazard codes</w:t>
      </w:r>
    </w:p>
    <w:p w:rsidR="0007063C" w:rsidRDefault="0007063C" w:rsidP="0007063C">
      <w:r>
        <w:t>Health:  1</w:t>
      </w:r>
      <w:r>
        <w:tab/>
        <w:t>Fire: 1</w:t>
      </w:r>
      <w:r>
        <w:tab/>
      </w:r>
      <w:r>
        <w:tab/>
        <w:t>Reactivity: 0</w:t>
      </w:r>
      <w:r>
        <w:tab/>
      </w:r>
      <w:r>
        <w:tab/>
        <w:t>Special:</w:t>
      </w:r>
    </w:p>
    <w:p w:rsidR="0007063C" w:rsidRDefault="0007063C" w:rsidP="0007063C"/>
    <w:p w:rsidR="0007063C" w:rsidRDefault="0007063C" w:rsidP="0007063C">
      <w:r>
        <w:t>HMIS III rating</w:t>
      </w:r>
    </w:p>
    <w:p w:rsidR="0007063C" w:rsidRDefault="0007063C" w:rsidP="0007063C">
      <w:r>
        <w:t>Health:  1</w:t>
      </w:r>
      <w:r>
        <w:tab/>
        <w:t>Flammability:  1</w:t>
      </w:r>
      <w:r>
        <w:tab/>
        <w:t>Physical hazard: 0</w:t>
      </w:r>
    </w:p>
    <w:p w:rsidR="0007063C" w:rsidRDefault="0007063C" w:rsidP="0007063C"/>
    <w:p w:rsidR="0007063C" w:rsidRDefault="0007063C" w:rsidP="0007063C">
      <w:pPr>
        <w:tabs>
          <w:tab w:val="right" w:pos="9360"/>
        </w:tabs>
      </w:pPr>
      <w:r>
        <w:t>__________________________________________________________________________</w:t>
      </w:r>
    </w:p>
    <w:p w:rsidR="0007063C" w:rsidRDefault="0007063C" w:rsidP="000706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bCs/>
          <w:sz w:val="28"/>
        </w:rPr>
      </w:pPr>
    </w:p>
    <w:p w:rsidR="0007063C" w:rsidRDefault="0007063C" w:rsidP="000706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rPr>
      </w:pPr>
      <w:r w:rsidRPr="000E2EDF">
        <w:rPr>
          <w:b/>
          <w:bCs/>
          <w:sz w:val="28"/>
        </w:rPr>
        <w:t xml:space="preserve">Section </w:t>
      </w:r>
      <w:r w:rsidRPr="00BC30CC">
        <w:rPr>
          <w:b/>
          <w:bCs/>
        </w:rPr>
        <w:t>X</w:t>
      </w:r>
      <w:r>
        <w:rPr>
          <w:b/>
          <w:bCs/>
        </w:rPr>
        <w:t>V</w:t>
      </w:r>
      <w:r w:rsidRPr="00BC30CC">
        <w:rPr>
          <w:b/>
          <w:bCs/>
        </w:rPr>
        <w:t>I</w:t>
      </w:r>
      <w:r>
        <w:rPr>
          <w:b/>
          <w:bCs/>
        </w:rPr>
        <w:t xml:space="preserve"> – OTHER INFORMATION</w:t>
      </w:r>
    </w:p>
    <w:p w:rsidR="0007063C" w:rsidRDefault="0007063C" w:rsidP="0007063C">
      <w:pPr>
        <w:tabs>
          <w:tab w:val="right" w:pos="9360"/>
        </w:tabs>
      </w:pPr>
      <w:r>
        <w:tab/>
        <w:t>______________________________________________________________________________</w:t>
      </w:r>
    </w:p>
    <w:p w:rsidR="0007063C" w:rsidRDefault="0007063C" w:rsidP="0007063C">
      <w:pPr>
        <w:pBdr>
          <w:bottom w:val="single" w:sz="6" w:space="2" w:color="auto"/>
        </w:pBdr>
        <w:rPr>
          <w:rFonts w:ascii="Arial" w:hAnsi="Arial"/>
        </w:rPr>
      </w:pPr>
    </w:p>
    <w:p w:rsidR="0007063C" w:rsidRDefault="0007063C" w:rsidP="0007063C">
      <w:pPr>
        <w:pBdr>
          <w:bottom w:val="single" w:sz="6" w:space="2" w:color="auto"/>
        </w:pBdr>
        <w:rPr>
          <w:rFonts w:ascii="Arial" w:hAnsi="Arial"/>
        </w:rPr>
      </w:pPr>
    </w:p>
    <w:p w:rsidR="0007063C" w:rsidRPr="00093133" w:rsidRDefault="0007063C" w:rsidP="0007063C">
      <w:pPr>
        <w:pBdr>
          <w:bottom w:val="single" w:sz="6" w:space="2" w:color="auto"/>
        </w:pBdr>
      </w:pPr>
      <w:r w:rsidRPr="00F30F6E">
        <w:t>Safety Data Sheet prepared by NYCOA Product Stewardship team on 10/14/14</w:t>
      </w:r>
      <w:r w:rsidR="00163A83">
        <w:rPr>
          <w:noProof/>
          <w:snapToGrid/>
        </w:rPr>
        <mc:AlternateContent>
          <mc:Choice Requires="wps">
            <w:drawing>
              <wp:anchor distT="0" distB="0" distL="114300" distR="114300" simplePos="0" relativeHeight="251657728" behindDoc="1" locked="0" layoutInCell="0" allowOverlap="1">
                <wp:simplePos x="0" y="0"/>
                <wp:positionH relativeFrom="page">
                  <wp:posOffset>668655</wp:posOffset>
                </wp:positionH>
                <wp:positionV relativeFrom="paragraph">
                  <wp:posOffset>600075</wp:posOffset>
                </wp:positionV>
                <wp:extent cx="6492240" cy="1826260"/>
                <wp:effectExtent l="1905" t="0" r="1905"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2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63C" w:rsidRDefault="0007063C" w:rsidP="0007063C">
                            <w:pPr>
                              <w:pStyle w:val="BodyText"/>
                              <w:pBdr>
                                <w:bottom w:val="single" w:sz="4" w:space="1" w:color="auto"/>
                              </w:pBdr>
                              <w:jc w:val="both"/>
                            </w:pPr>
                            <w:r>
                              <w:t>This Safety Data Sheet (SDS) is presented in good faith, based on currently available information, and is accurate to the best of our knowledge.  It does not replace the precautions, directions and information contained on the product label.  The user is solely responsible for: 1) following all instructions, recommendations and directions; 2} deciding whether this product or the information about this product is suitable for its use; 3) providing this SDS and all other information about this product to any subsequent uses; 4) meeting all applicable health and safety standards and regulations; and 5) ensuring that no patent infringement occurs.</w:t>
                            </w:r>
                          </w:p>
                          <w:p w:rsidR="0007063C" w:rsidRDefault="0007063C" w:rsidP="0007063C">
                            <w:pPr>
                              <w:pStyle w:val="BodyText"/>
                              <w:pBdr>
                                <w:bottom w:val="single" w:sz="4" w:space="1" w:color="auto"/>
                              </w:pBdr>
                              <w:jc w:val="both"/>
                            </w:pPr>
                          </w:p>
                          <w:p w:rsidR="0007063C" w:rsidRDefault="0007063C" w:rsidP="0007063C">
                            <w:pPr>
                              <w:pStyle w:val="BodyText"/>
                              <w:pBdr>
                                <w:bottom w:val="single" w:sz="4" w:space="1" w:color="auto"/>
                              </w:pBdr>
                              <w:jc w:val="both"/>
                            </w:pPr>
                            <w:r>
                              <w:t>NO LIABILITY IS ASSUMED AND NO REPRESENTATIONS OR WARRANTIES, EITHER EXPRESS OR IMPLIED, ARE MADE WITH RESPECT TO THE INFORMATION OR THE PRODUCT TO WHICH THE INFORMATION REFERS.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52.65pt;margin-top:47.25pt;width:511.2pt;height:14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" o:allowincell="f" stroked="f">
                <v:textbox>
                  <w:txbxContent>
                    <w:p w:rsidR="0007063C" w:rsidRDefault="0007063C" w:rsidP="0007063C">
                      <w:pPr>
                        <w:pStyle w:val="BodyText"/>
                        <w:pBdr>
                          <w:bottom w:val="single" w:sz="4" w:space="1" w:color="auto"/>
                        </w:pBdr>
                        <w:jc w:val="both"/>
                      </w:pPr>
                      <w:r>
                        <w:t>This Safety Data Sheet (SDS) is presented in good faith, based on currently available information, and is accurate to the best of our knowledge.  It does not replace the precautions, directions and information contained on the product label.  The user is solely responsible for: 1) following all instructions, recommendations and directions; 2} deciding whether this product or the information about this product is suitable for its use; 3) providing this SDS and all other information about this product to any subsequent uses; 4) meeting all applicable health and safety standards and regulations; and 5) ensuring that no patent infringement occurs.</w:t>
                      </w:r>
                    </w:p>
                    <w:p w:rsidR="0007063C" w:rsidRDefault="0007063C" w:rsidP="0007063C">
                      <w:pPr>
                        <w:pStyle w:val="BodyText"/>
                        <w:pBdr>
                          <w:bottom w:val="single" w:sz="4" w:space="1" w:color="auto"/>
                        </w:pBdr>
                        <w:jc w:val="both"/>
                      </w:pPr>
                    </w:p>
                    <w:p w:rsidR="0007063C" w:rsidRDefault="0007063C" w:rsidP="0007063C">
                      <w:pPr>
                        <w:pStyle w:val="BodyText"/>
                        <w:pBdr>
                          <w:bottom w:val="single" w:sz="4" w:space="1" w:color="auto"/>
                        </w:pBdr>
                        <w:jc w:val="both"/>
                      </w:pPr>
                      <w:r>
                        <w:t>NO LIABILITY IS ASSUMED AND NO REPRESENTATIONS OR WARRANTIES, EITHER EXPRESS OR IMPLIED, ARE MADE WITH RESPECT TO THE INFORMATION OR THE PRODUCT TO WHICH THE INFORMATION REFERS.</w:t>
                      </w:r>
                    </w:p>
                  </w:txbxContent>
                </v:textbox>
                <w10:wrap anchorx="page"/>
              </v:shape>
            </w:pict>
          </mc:Fallback>
        </mc:AlternateContent>
      </w:r>
    </w:p>
    <w:p w:rsidR="0007063C" w:rsidRDefault="0007063C" w:rsidP="0007063C">
      <w:pPr>
        <w:pBdr>
          <w:bottom w:val="single" w:sz="6" w:space="2" w:color="auto"/>
        </w:pBdr>
        <w:rPr>
          <w:rFonts w:ascii="Arial" w:hAnsi="Arial"/>
        </w:rPr>
      </w:pPr>
    </w:p>
    <w:p w:rsidR="0007063C" w:rsidRDefault="0007063C" w:rsidP="0007063C">
      <w:pPr>
        <w:pBdr>
          <w:bottom w:val="single" w:sz="6" w:space="2" w:color="auto"/>
        </w:pBdr>
        <w:rPr>
          <w:rFonts w:ascii="Arial" w:hAnsi="Arial"/>
        </w:rPr>
      </w:pPr>
    </w:p>
    <w:p w:rsidR="00B52C0E" w:rsidRDefault="00B52C0E" w:rsidP="00A120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ectPr w:rsidR="00B52C0E">
          <w:headerReference w:type="default" r:id="rId7"/>
          <w:footerReference w:type="even" r:id="rId8"/>
          <w:footerReference w:type="default" r:id="rId9"/>
          <w:endnotePr>
            <w:numFmt w:val="decimal"/>
          </w:endnotePr>
          <w:type w:val="continuous"/>
          <w:pgSz w:w="12240" w:h="15840"/>
          <w:pgMar w:top="450" w:right="1440" w:bottom="360" w:left="1440" w:header="450" w:footer="720" w:gutter="0"/>
          <w:cols w:space="720"/>
          <w:noEndnote/>
        </w:sectPr>
      </w:pPr>
    </w:p>
    <w:p w:rsidR="00935753" w:rsidRDefault="00935753">
      <w:pPr>
        <w:pStyle w:val="Header"/>
        <w:tabs>
          <w:tab w:val="clear" w:pos="4320"/>
          <w:tab w:val="clear" w:pos="8640"/>
        </w:tabs>
        <w:rPr>
          <w:rFonts w:ascii="Arial" w:hAnsi="Arial"/>
          <w:noProof/>
          <w:snapToGrid/>
        </w:rPr>
      </w:pPr>
    </w:p>
    <w:sectPr w:rsidR="00935753" w:rsidSect="007D3430">
      <w:headerReference w:type="default" r:id="rId10"/>
      <w:footerReference w:type="default" r:id="rId11"/>
      <w:endnotePr>
        <w:numFmt w:val="decimal"/>
      </w:endnotePr>
      <w:pgSz w:w="12240" w:h="15840"/>
      <w:pgMar w:top="1440" w:right="1152" w:bottom="1440" w:left="1152"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9F" w:rsidRDefault="008C2F9F" w:rsidP="00935753">
      <w:r>
        <w:separator/>
      </w:r>
    </w:p>
  </w:endnote>
  <w:endnote w:type="continuationSeparator" w:id="0">
    <w:p w:rsidR="008C2F9F" w:rsidRDefault="008C2F9F" w:rsidP="0093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5" w:rsidRDefault="00A64DB0">
    <w:pPr>
      <w:pStyle w:val="Footer"/>
      <w:framePr w:wrap="around" w:vAnchor="text" w:hAnchor="margin" w:xAlign="right" w:y="1"/>
      <w:rPr>
        <w:rStyle w:val="PageNumber"/>
      </w:rPr>
    </w:pPr>
    <w:r>
      <w:rPr>
        <w:rStyle w:val="PageNumber"/>
      </w:rPr>
      <w:fldChar w:fldCharType="begin"/>
    </w:r>
    <w:r w:rsidR="00DE05E5">
      <w:rPr>
        <w:rStyle w:val="PageNumber"/>
      </w:rPr>
      <w:instrText xml:space="preserve">PAGE  </w:instrText>
    </w:r>
    <w:r>
      <w:rPr>
        <w:rStyle w:val="PageNumber"/>
      </w:rPr>
      <w:fldChar w:fldCharType="end"/>
    </w:r>
  </w:p>
  <w:p w:rsidR="00DE05E5" w:rsidRDefault="00DE05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5" w:rsidRDefault="00A64DB0">
    <w:pPr>
      <w:pStyle w:val="Footer"/>
      <w:framePr w:wrap="around" w:vAnchor="text" w:hAnchor="margin" w:xAlign="right" w:y="1"/>
      <w:rPr>
        <w:rStyle w:val="PageNumber"/>
      </w:rPr>
    </w:pPr>
    <w:r>
      <w:rPr>
        <w:rStyle w:val="PageNumber"/>
      </w:rPr>
      <w:fldChar w:fldCharType="begin"/>
    </w:r>
    <w:r w:rsidR="00DE05E5">
      <w:rPr>
        <w:rStyle w:val="PageNumber"/>
      </w:rPr>
      <w:instrText xml:space="preserve">PAGE  </w:instrText>
    </w:r>
    <w:r>
      <w:rPr>
        <w:rStyle w:val="PageNumber"/>
      </w:rPr>
      <w:fldChar w:fldCharType="separate"/>
    </w:r>
    <w:r w:rsidR="00163A83">
      <w:rPr>
        <w:rStyle w:val="PageNumber"/>
        <w:noProof/>
      </w:rPr>
      <w:t>1</w:t>
    </w:r>
    <w:r>
      <w:rPr>
        <w:rStyle w:val="PageNumber"/>
      </w:rPr>
      <w:fldChar w:fldCharType="end"/>
    </w:r>
  </w:p>
  <w:p w:rsidR="00DE05E5" w:rsidRDefault="00B3261A">
    <w:pPr>
      <w:pStyle w:val="Footer"/>
      <w:ind w:right="360"/>
      <w:jc w:val="center"/>
      <w:rPr>
        <w:b/>
        <w:bCs/>
        <w:sz w:val="36"/>
      </w:rPr>
    </w:pPr>
    <w:r>
      <w:rPr>
        <w:b/>
        <w:bCs/>
        <w:noProof/>
        <w:snapToGrid/>
        <w:sz w:val="36"/>
      </w:rPr>
      <w:drawing>
        <wp:inline distT="0" distB="0" distL="0" distR="0">
          <wp:extent cx="971550" cy="323850"/>
          <wp:effectExtent l="19050" t="0" r="0" b="0"/>
          <wp:docPr id="2" name="Picture 2" descr="NY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COA"/>
                  <pic:cNvPicPr>
                    <a:picLocks noChangeAspect="1" noChangeArrowheads="1"/>
                  </pic:cNvPicPr>
                </pic:nvPicPr>
                <pic:blipFill>
                  <a:blip r:embed="rId1"/>
                  <a:srcRect/>
                  <a:stretch>
                    <a:fillRect/>
                  </a:stretch>
                </pic:blipFill>
                <pic:spPr bwMode="auto">
                  <a:xfrm>
                    <a:off x="0" y="0"/>
                    <a:ext cx="971550" cy="323850"/>
                  </a:xfrm>
                  <a:prstGeom prst="rect">
                    <a:avLst/>
                  </a:prstGeom>
                  <a:noFill/>
                  <a:ln w="9525">
                    <a:noFill/>
                    <a:miter lim="800000"/>
                    <a:headEnd/>
                    <a:tailEnd/>
                  </a:ln>
                </pic:spPr>
              </pic:pic>
            </a:graphicData>
          </a:graphic>
        </wp:inline>
      </w:drawing>
    </w:r>
  </w:p>
  <w:p w:rsidR="00DE05E5" w:rsidRDefault="00DE05E5" w:rsidP="00DE05E5">
    <w:pPr>
      <w:pStyle w:val="Footer"/>
    </w:pPr>
    <w:r>
      <w:rPr>
        <w:b/>
        <w:bCs/>
        <w:i/>
        <w:iCs/>
        <w:sz w:val="16"/>
      </w:rPr>
      <w:tab/>
      <w:t xml:space="preserve">        Specialty Nylon Materials.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5" w:rsidRDefault="00DE05E5">
    <w:pPr>
      <w:pStyle w:val="Footer"/>
      <w:jc w:val="center"/>
      <w:rPr>
        <w:b/>
        <w:bCs/>
        <w:i/>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9F" w:rsidRDefault="008C2F9F" w:rsidP="00935753">
      <w:r>
        <w:separator/>
      </w:r>
    </w:p>
  </w:footnote>
  <w:footnote w:type="continuationSeparator" w:id="0">
    <w:p w:rsidR="008C2F9F" w:rsidRDefault="008C2F9F" w:rsidP="00935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5" w:rsidRDefault="000709AE" w:rsidP="000709AE">
    <w:pPr>
      <w:pStyle w:val="Header"/>
      <w:rPr>
        <w:b/>
        <w:bCs/>
        <w:sz w:val="36"/>
      </w:rPr>
    </w:pPr>
    <w:r>
      <w:rPr>
        <w:b/>
        <w:bCs/>
        <w:sz w:val="36"/>
      </w:rPr>
      <w:t xml:space="preserve">NYCOA </w:t>
    </w:r>
    <w:r w:rsidR="000A4A48">
      <w:rPr>
        <w:b/>
        <w:bCs/>
        <w:sz w:val="36"/>
      </w:rPr>
      <w:t>2047</w:t>
    </w:r>
    <w:r>
      <w:rPr>
        <w:b/>
        <w:bCs/>
        <w:sz w:val="36"/>
      </w:rPr>
      <w:tab/>
    </w:r>
    <w:r>
      <w:rPr>
        <w:b/>
        <w:bCs/>
        <w:sz w:val="36"/>
      </w:rPr>
      <w:tab/>
      <w:t xml:space="preserve">   </w:t>
    </w:r>
    <w:r w:rsidR="00B3261A">
      <w:rPr>
        <w:b/>
        <w:bCs/>
        <w:noProof/>
        <w:snapToGrid/>
        <w:sz w:val="36"/>
      </w:rPr>
      <w:drawing>
        <wp:inline distT="0" distB="0" distL="0" distR="0">
          <wp:extent cx="2000250" cy="666750"/>
          <wp:effectExtent l="19050" t="0" r="0" b="0"/>
          <wp:docPr id="1" name="Picture 1" descr="NY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OA"/>
                  <pic:cNvPicPr>
                    <a:picLocks noChangeAspect="1" noChangeArrowheads="1"/>
                  </pic:cNvPicPr>
                </pic:nvPicPr>
                <pic:blipFill>
                  <a:blip r:embed="rId1"/>
                  <a:srcRect/>
                  <a:stretch>
                    <a:fillRect/>
                  </a:stretch>
                </pic:blipFill>
                <pic:spPr bwMode="auto">
                  <a:xfrm>
                    <a:off x="0" y="0"/>
                    <a:ext cx="2000250" cy="666750"/>
                  </a:xfrm>
                  <a:prstGeom prst="rect">
                    <a:avLst/>
                  </a:prstGeom>
                  <a:noFill/>
                  <a:ln w="9525">
                    <a:noFill/>
                    <a:miter lim="800000"/>
                    <a:headEnd/>
                    <a:tailEnd/>
                  </a:ln>
                </pic:spPr>
              </pic:pic>
            </a:graphicData>
          </a:graphic>
        </wp:inline>
      </w:drawing>
    </w:r>
  </w:p>
  <w:p w:rsidR="00DE05E5" w:rsidRDefault="00DE05E5" w:rsidP="00DE05E5">
    <w:pPr>
      <w:pStyle w:val="Header"/>
      <w:jc w:val="center"/>
    </w:pPr>
    <w:r>
      <w:rPr>
        <w:b/>
        <w:bCs/>
        <w:sz w:val="36"/>
      </w:rPr>
      <w:t xml:space="preserve">                                </w:t>
    </w:r>
    <w:r w:rsidR="000709AE">
      <w:rPr>
        <w:b/>
        <w:bCs/>
        <w:sz w:val="36"/>
      </w:rPr>
      <w:t xml:space="preserve">                    </w:t>
    </w:r>
    <w:r>
      <w:rPr>
        <w:b/>
        <w:bCs/>
        <w:sz w:val="36"/>
      </w:rPr>
      <w:t>Safety Data 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5" w:rsidRDefault="00DE05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65D7D"/>
    <w:multiLevelType w:val="hybridMultilevel"/>
    <w:tmpl w:val="5156D0EC"/>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50F37"/>
    <w:multiLevelType w:val="hybridMultilevel"/>
    <w:tmpl w:val="BD7E0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53"/>
    <w:rsid w:val="00006D1E"/>
    <w:rsid w:val="0004477C"/>
    <w:rsid w:val="0007063C"/>
    <w:rsid w:val="000709AE"/>
    <w:rsid w:val="000A4A48"/>
    <w:rsid w:val="000B284B"/>
    <w:rsid w:val="000E2EDF"/>
    <w:rsid w:val="000F2CB1"/>
    <w:rsid w:val="001222E8"/>
    <w:rsid w:val="00135F09"/>
    <w:rsid w:val="001411F1"/>
    <w:rsid w:val="00163A83"/>
    <w:rsid w:val="001D3F93"/>
    <w:rsid w:val="00222A6E"/>
    <w:rsid w:val="00320B9D"/>
    <w:rsid w:val="003A274E"/>
    <w:rsid w:val="003F10D8"/>
    <w:rsid w:val="004300FA"/>
    <w:rsid w:val="00445798"/>
    <w:rsid w:val="004D7DFA"/>
    <w:rsid w:val="00510A07"/>
    <w:rsid w:val="00530A6E"/>
    <w:rsid w:val="005440B4"/>
    <w:rsid w:val="005575E2"/>
    <w:rsid w:val="00566943"/>
    <w:rsid w:val="0057632D"/>
    <w:rsid w:val="005B088B"/>
    <w:rsid w:val="00612F79"/>
    <w:rsid w:val="006157C4"/>
    <w:rsid w:val="00683767"/>
    <w:rsid w:val="006E1D2E"/>
    <w:rsid w:val="006E4B23"/>
    <w:rsid w:val="006F25BF"/>
    <w:rsid w:val="006F77CB"/>
    <w:rsid w:val="00746568"/>
    <w:rsid w:val="007803FB"/>
    <w:rsid w:val="007822FB"/>
    <w:rsid w:val="007A77D7"/>
    <w:rsid w:val="007B65AC"/>
    <w:rsid w:val="007B7DEB"/>
    <w:rsid w:val="007D3430"/>
    <w:rsid w:val="007F3BDF"/>
    <w:rsid w:val="008760D7"/>
    <w:rsid w:val="00890CF0"/>
    <w:rsid w:val="008B0B29"/>
    <w:rsid w:val="008C2F9F"/>
    <w:rsid w:val="00935753"/>
    <w:rsid w:val="0099304F"/>
    <w:rsid w:val="009B6E6F"/>
    <w:rsid w:val="009E0A72"/>
    <w:rsid w:val="00A1208C"/>
    <w:rsid w:val="00A240FA"/>
    <w:rsid w:val="00A64DB0"/>
    <w:rsid w:val="00AC74DA"/>
    <w:rsid w:val="00AD2628"/>
    <w:rsid w:val="00AD532B"/>
    <w:rsid w:val="00B3261A"/>
    <w:rsid w:val="00B37B81"/>
    <w:rsid w:val="00B423A2"/>
    <w:rsid w:val="00B52C0E"/>
    <w:rsid w:val="00B64B1A"/>
    <w:rsid w:val="00B7067A"/>
    <w:rsid w:val="00B95A7E"/>
    <w:rsid w:val="00BB2B88"/>
    <w:rsid w:val="00BC30CC"/>
    <w:rsid w:val="00BE5065"/>
    <w:rsid w:val="00C14AC0"/>
    <w:rsid w:val="00C45EB2"/>
    <w:rsid w:val="00C5462A"/>
    <w:rsid w:val="00C938DC"/>
    <w:rsid w:val="00CD1EAC"/>
    <w:rsid w:val="00CD5386"/>
    <w:rsid w:val="00D21BF4"/>
    <w:rsid w:val="00D847C9"/>
    <w:rsid w:val="00DE05E5"/>
    <w:rsid w:val="00DF650A"/>
    <w:rsid w:val="00E07E6C"/>
    <w:rsid w:val="00E404DB"/>
    <w:rsid w:val="00E678D6"/>
    <w:rsid w:val="00E91D03"/>
    <w:rsid w:val="00E96AD0"/>
    <w:rsid w:val="00EF770B"/>
    <w:rsid w:val="00F27733"/>
    <w:rsid w:val="00F30F6E"/>
    <w:rsid w:val="00F46389"/>
    <w:rsid w:val="00F466D6"/>
    <w:rsid w:val="00F55453"/>
    <w:rsid w:val="00F7607F"/>
    <w:rsid w:val="00FC37E3"/>
    <w:rsid w:val="00FD0DD9"/>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E7FEE30-0EA4-43E7-9434-875ACB52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30"/>
    <w:pPr>
      <w:widowControl w:val="0"/>
    </w:pPr>
    <w:rPr>
      <w:snapToGrid w:val="0"/>
      <w:sz w:val="24"/>
    </w:rPr>
  </w:style>
  <w:style w:type="paragraph" w:styleId="Heading1">
    <w:name w:val="heading 1"/>
    <w:basedOn w:val="Normal"/>
    <w:next w:val="Normal"/>
    <w:qFormat/>
    <w:rsid w:val="007D3430"/>
    <w:pPr>
      <w:keepNext/>
      <w:tabs>
        <w:tab w:val="left" w:pos="7020"/>
      </w:tabs>
      <w:outlineLvl w:val="0"/>
    </w:pPr>
    <w:rPr>
      <w:rFonts w:ascii="Arial" w:hAnsi="Arial"/>
      <w:b/>
    </w:rPr>
  </w:style>
  <w:style w:type="paragraph" w:styleId="Heading2">
    <w:name w:val="heading 2"/>
    <w:basedOn w:val="Normal"/>
    <w:next w:val="Normal"/>
    <w:qFormat/>
    <w:rsid w:val="007D3430"/>
    <w:pPr>
      <w:keepNext/>
      <w:jc w:val="both"/>
      <w:outlineLvl w:val="1"/>
    </w:pPr>
    <w:rPr>
      <w:rFonts w:ascii="Arial" w:hAnsi="Arial"/>
      <w:b/>
    </w:rPr>
  </w:style>
  <w:style w:type="paragraph" w:styleId="Heading3">
    <w:name w:val="heading 3"/>
    <w:basedOn w:val="Normal"/>
    <w:next w:val="Normal"/>
    <w:qFormat/>
    <w:rsid w:val="007D3430"/>
    <w:pPr>
      <w:keepNext/>
      <w:pBdr>
        <w:top w:val="single" w:sz="6" w:space="1" w:color="auto"/>
        <w:bottom w:val="single" w:sz="6" w:space="1" w:color="auto"/>
      </w:pBdr>
      <w:outlineLvl w:val="2"/>
    </w:pPr>
    <w:rPr>
      <w:b/>
      <w:bCs/>
      <w:sz w:val="22"/>
    </w:rPr>
  </w:style>
  <w:style w:type="paragraph" w:styleId="Heading4">
    <w:name w:val="heading 4"/>
    <w:basedOn w:val="Normal"/>
    <w:next w:val="Normal"/>
    <w:qFormat/>
    <w:rsid w:val="007D3430"/>
    <w:pPr>
      <w:keepNext/>
      <w:pBdr>
        <w:bottom w:val="single" w:sz="6" w:space="0" w:color="auto"/>
      </w:pBdr>
      <w:outlineLvl w:val="3"/>
    </w:pPr>
    <w:rPr>
      <w:b/>
      <w:bCs/>
      <w:sz w:val="22"/>
    </w:rPr>
  </w:style>
  <w:style w:type="paragraph" w:styleId="Heading5">
    <w:name w:val="heading 5"/>
    <w:basedOn w:val="Normal"/>
    <w:next w:val="Normal"/>
    <w:qFormat/>
    <w:rsid w:val="007D3430"/>
    <w:pPr>
      <w:keepNext/>
      <w:pBdr>
        <w:top w:val="single" w:sz="6" w:space="1" w:color="auto"/>
        <w:bottom w:val="single" w:sz="6" w:space="1" w:color="auto"/>
      </w:pBdr>
      <w:ind w:left="2160" w:hanging="2160"/>
      <w:outlineLvl w:val="4"/>
    </w:pPr>
    <w:rPr>
      <w:b/>
      <w:bCs/>
      <w:sz w:val="22"/>
    </w:rPr>
  </w:style>
  <w:style w:type="paragraph" w:styleId="Heading6">
    <w:name w:val="heading 6"/>
    <w:basedOn w:val="Normal"/>
    <w:next w:val="Normal"/>
    <w:qFormat/>
    <w:rsid w:val="007D3430"/>
    <w:pPr>
      <w:keepNext/>
      <w:jc w:val="center"/>
      <w:outlineLvl w:val="5"/>
    </w:pPr>
    <w:rPr>
      <w:rFonts w:ascii="Arial" w:hAnsi="Arial"/>
      <w:b/>
    </w:rPr>
  </w:style>
  <w:style w:type="paragraph" w:styleId="Heading7">
    <w:name w:val="heading 7"/>
    <w:basedOn w:val="Normal"/>
    <w:next w:val="Normal"/>
    <w:qFormat/>
    <w:rsid w:val="007D3430"/>
    <w:pPr>
      <w:keepNext/>
      <w:tabs>
        <w:tab w:val="left" w:pos="-1080"/>
        <w:tab w:val="left" w:pos="-720"/>
        <w:tab w:val="left" w:pos="0"/>
        <w:tab w:val="left" w:pos="720"/>
        <w:tab w:val="left" w:pos="1440"/>
        <w:tab w:val="left" w:pos="2160"/>
        <w:tab w:val="left" w:pos="2880"/>
        <w:tab w:val="left" w:pos="3510"/>
        <w:tab w:val="left" w:pos="4230"/>
        <w:tab w:val="left" w:pos="4590"/>
        <w:tab w:val="left" w:pos="5130"/>
        <w:tab w:val="left" w:pos="6030"/>
        <w:tab w:val="left" w:pos="6750"/>
        <w:tab w:val="left" w:pos="7290"/>
        <w:tab w:val="left" w:pos="7830"/>
        <w:tab w:val="left" w:pos="9360"/>
      </w:tabs>
      <w:jc w:val="center"/>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D3430"/>
  </w:style>
  <w:style w:type="paragraph" w:styleId="Header">
    <w:name w:val="header"/>
    <w:basedOn w:val="Normal"/>
    <w:link w:val="HeaderChar"/>
    <w:uiPriority w:val="99"/>
    <w:rsid w:val="007D3430"/>
    <w:pPr>
      <w:tabs>
        <w:tab w:val="center" w:pos="4320"/>
        <w:tab w:val="right" w:pos="8640"/>
      </w:tabs>
    </w:pPr>
  </w:style>
  <w:style w:type="paragraph" w:styleId="Footer">
    <w:name w:val="footer"/>
    <w:basedOn w:val="Normal"/>
    <w:semiHidden/>
    <w:rsid w:val="007D3430"/>
    <w:pPr>
      <w:tabs>
        <w:tab w:val="center" w:pos="4320"/>
        <w:tab w:val="right" w:pos="8640"/>
      </w:tabs>
    </w:pPr>
  </w:style>
  <w:style w:type="character" w:styleId="PageNumber">
    <w:name w:val="page number"/>
    <w:basedOn w:val="DefaultParagraphFont"/>
    <w:semiHidden/>
    <w:rsid w:val="007D3430"/>
  </w:style>
  <w:style w:type="paragraph" w:styleId="BodyTextIndent">
    <w:name w:val="Body Text Indent"/>
    <w:basedOn w:val="Normal"/>
    <w:semiHidden/>
    <w:rsid w:val="007D3430"/>
    <w:pPr>
      <w:ind w:left="720" w:hanging="720"/>
    </w:pPr>
    <w:rPr>
      <w:rFonts w:ascii="Arial" w:hAnsi="Arial"/>
    </w:rPr>
  </w:style>
  <w:style w:type="paragraph" w:styleId="BodyText">
    <w:name w:val="Body Text"/>
    <w:basedOn w:val="Normal"/>
    <w:link w:val="BodyTextChar"/>
    <w:semiHidden/>
    <w:rsid w:val="007D3430"/>
    <w:pPr>
      <w:widowControl/>
    </w:pPr>
    <w:rPr>
      <w:rFonts w:ascii="Arial" w:hAnsi="Arial"/>
      <w:b/>
      <w:snapToGrid/>
      <w:sz w:val="20"/>
    </w:rPr>
  </w:style>
  <w:style w:type="paragraph" w:styleId="BodyTextIndent2">
    <w:name w:val="Body Text Indent 2"/>
    <w:basedOn w:val="Normal"/>
    <w:semiHidden/>
    <w:rsid w:val="007D3430"/>
    <w:pPr>
      <w:tabs>
        <w:tab w:val="left" w:pos="-1080"/>
        <w:tab w:val="left" w:pos="-720"/>
        <w:tab w:val="left" w:pos="0"/>
        <w:tab w:val="left" w:pos="720"/>
        <w:tab w:val="left" w:pos="1440"/>
        <w:tab w:val="left" w:pos="2160"/>
        <w:tab w:val="left" w:pos="2880"/>
        <w:tab w:val="left" w:pos="3600"/>
        <w:tab w:val="left" w:pos="3690"/>
        <w:tab w:val="left" w:pos="4410"/>
        <w:tab w:val="left" w:pos="5040"/>
        <w:tab w:val="left" w:pos="5760"/>
        <w:tab w:val="left" w:pos="6480"/>
        <w:tab w:val="left" w:pos="7200"/>
        <w:tab w:val="left" w:pos="7920"/>
        <w:tab w:val="left" w:pos="9360"/>
      </w:tabs>
      <w:ind w:left="3690" w:hanging="3690"/>
    </w:pPr>
    <w:rPr>
      <w:rFonts w:ascii="Arial" w:hAnsi="Arial" w:cs="Arial"/>
    </w:rPr>
  </w:style>
  <w:style w:type="paragraph" w:styleId="BodyText2">
    <w:name w:val="Body Text 2"/>
    <w:basedOn w:val="Normal"/>
    <w:semiHidden/>
    <w:rsid w:val="007D3430"/>
    <w:p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9360"/>
      </w:tabs>
      <w:jc w:val="both"/>
    </w:pPr>
    <w:rPr>
      <w:rFonts w:ascii="Arial" w:hAnsi="Arial" w:cs="Arial"/>
      <w:szCs w:val="22"/>
    </w:rPr>
  </w:style>
  <w:style w:type="character" w:customStyle="1" w:styleId="HeaderChar">
    <w:name w:val="Header Char"/>
    <w:basedOn w:val="DefaultParagraphFont"/>
    <w:link w:val="Header"/>
    <w:uiPriority w:val="99"/>
    <w:rsid w:val="000709AE"/>
    <w:rPr>
      <w:snapToGrid w:val="0"/>
      <w:sz w:val="24"/>
    </w:rPr>
  </w:style>
  <w:style w:type="paragraph" w:styleId="BalloonText">
    <w:name w:val="Balloon Text"/>
    <w:basedOn w:val="Normal"/>
    <w:link w:val="BalloonTextChar"/>
    <w:uiPriority w:val="99"/>
    <w:semiHidden/>
    <w:unhideWhenUsed/>
    <w:rsid w:val="000709AE"/>
    <w:rPr>
      <w:rFonts w:ascii="Tahoma" w:hAnsi="Tahoma" w:cs="Tahoma"/>
      <w:sz w:val="16"/>
      <w:szCs w:val="16"/>
    </w:rPr>
  </w:style>
  <w:style w:type="character" w:customStyle="1" w:styleId="BalloonTextChar">
    <w:name w:val="Balloon Text Char"/>
    <w:basedOn w:val="DefaultParagraphFont"/>
    <w:link w:val="BalloonText"/>
    <w:uiPriority w:val="99"/>
    <w:semiHidden/>
    <w:rsid w:val="000709AE"/>
    <w:rPr>
      <w:rFonts w:ascii="Tahoma" w:hAnsi="Tahoma" w:cs="Tahoma"/>
      <w:snapToGrid w:val="0"/>
      <w:sz w:val="16"/>
      <w:szCs w:val="16"/>
    </w:rPr>
  </w:style>
  <w:style w:type="character" w:customStyle="1" w:styleId="BodyTextChar">
    <w:name w:val="Body Text Char"/>
    <w:basedOn w:val="DefaultParagraphFont"/>
    <w:link w:val="BodyText"/>
    <w:semiHidden/>
    <w:rsid w:val="00B52C0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1691</Words>
  <Characters>9641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Material Safety Data Sheet For: Grilamid L25 Natural</vt:lpstr>
    </vt:vector>
  </TitlesOfParts>
  <Company>ECNA</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For: Grilamid L25 Natural</dc:title>
  <dc:creator>ruhi</dc:creator>
  <cp:lastModifiedBy>Snyder, Connie</cp:lastModifiedBy>
  <cp:revision>2</cp:revision>
  <cp:lastPrinted>2014-10-14T21:24:00Z</cp:lastPrinted>
  <dcterms:created xsi:type="dcterms:W3CDTF">2016-10-27T19:11:00Z</dcterms:created>
  <dcterms:modified xsi:type="dcterms:W3CDTF">2016-10-27T19:11:00Z</dcterms:modified>
</cp:coreProperties>
</file>